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Narrativa Explicativa de Resultados de la Encuesta PILAR–ENS</w:t>
      </w:r>
    </w:p>
    <w:p>
      <w:r>
        <w:t>Cómo contarle a la dirección, con cierta elegancia y algo de ironía controlada, qué ha revelado la encuesta sobre nuestra madurez ENS.</w:t>
      </w:r>
    </w:p>
    <w:p>
      <w:pPr>
        <w:pStyle w:val="Heading2"/>
        <w:keepNext/>
        <w:keepLines/>
      </w:pPr>
      <w:r>
        <w:rPr>
          <w:color w:val="0066CC"/>
        </w:rPr>
        <w:t>1. Introducción</w:t>
      </w:r>
    </w:p>
    <w:p>
      <w:r>
        <w:t>La presente narrativa acompaña a los resultados cuantitativos de la encuesta integral PILAR–ENS.</w:t>
      </w:r>
      <w:r/>
      <w:r>
        <w:br/>
        <w:t>Su objetivo es traducir porcentajes, índices y semáforos en una historia comprensible sobre dónde estamos, cómo hemos llegado hasta aquí y qué podríamos mejorar sin sacrificar demasiadas neuronas ni presupuestos.</w:t>
      </w:r>
    </w:p>
    <w:p>
      <w:pPr>
        <w:pStyle w:val="Heading2"/>
        <w:keepNext/>
        <w:keepLines/>
      </w:pPr>
      <w:r>
        <w:rPr>
          <w:color w:val="0066CC"/>
        </w:rPr>
        <w:t>2. Retrato general de la organización</w:t>
      </w:r>
    </w:p>
    <w:p>
      <w:r>
        <w:t>En primer lugar, se describe el contexto:</w:t>
      </w:r>
    </w:p>
    <w:p>
      <w:pPr>
        <w:pStyle w:val="ListBullet"/>
        <w:keepLines w:val="1"/>
        <w:keepNext w:val="1"/>
        <w:widowControl w:val="1"/>
      </w:pPr>
      <w:r>
        <w:t xml:space="preserve">Tipo de organización, tamaño y sector.  </w:t>
      </w:r>
    </w:p>
    <w:p>
      <w:pPr>
        <w:pStyle w:val="ListBullet"/>
        <w:keepLines w:val="1"/>
        <w:keepNext w:val="1"/>
        <w:widowControl w:val="1"/>
      </w:pPr>
      <w:r>
        <w:t xml:space="preserve">Rol y composición del equipo que ha respondido la encuesta.  </w:t>
      </w:r>
    </w:p>
    <w:p>
      <w:pPr>
        <w:pStyle w:val="ListBullet"/>
        <w:keepLines w:val="1"/>
        <w:widowControl w:val="1"/>
      </w:pPr>
      <w:r>
        <w:t>Situación actual respecto al ENS (en implantación, consolidado, en revisión profunda, etc.).</w:t>
      </w:r>
    </w:p>
    <w:p>
      <w:r>
        <w:t>Este retrato inicial sirve para que cualquier lector entienda por qué una madurez “media” en determinada área puede ser motivo de celebración o, por el contrario, un signo de alarma.</w:t>
      </w:r>
    </w:p>
    <w:p>
      <w:pPr>
        <w:pStyle w:val="Heading2"/>
        <w:keepNext/>
        <w:keepLines/>
      </w:pPr>
      <w:r>
        <w:rPr>
          <w:color w:val="0066CC"/>
        </w:rPr>
        <w:t>3. Resultado del Índice Global de Madurez (IGM)</w:t>
      </w:r>
    </w:p>
    <w:p>
      <w:r>
        <w:t>Se presenta el IGM en una escala de 0 a 100, acompañado de una breve interpretación:</w:t>
      </w:r>
    </w:p>
    <w:p>
      <w:pPr>
        <w:pStyle w:val="ListBullet"/>
        <w:keepLines w:val="1"/>
        <w:keepNext w:val="1"/>
        <w:widowControl w:val="1"/>
      </w:pPr>
      <w:r>
        <w:t xml:space="preserve">Valores 0–30: madurez incipiente.  </w:t>
      </w:r>
    </w:p>
    <w:p>
      <w:pPr>
        <w:pStyle w:val="ListBullet"/>
        <w:keepLines w:val="1"/>
        <w:keepNext w:val="1"/>
        <w:widowControl w:val="1"/>
      </w:pPr>
      <w:r>
        <w:t xml:space="preserve">Valores 31–60: madurez intermedia en consolidación.  </w:t>
      </w:r>
    </w:p>
    <w:p>
      <w:pPr>
        <w:pStyle w:val="ListBullet"/>
        <w:keepLines w:val="1"/>
        <w:keepNext w:val="1"/>
        <w:widowControl w:val="1"/>
      </w:pPr>
      <w:r>
        <w:t xml:space="preserve">Valores 61–80: madurez avanzada, con áreas de mejora específicas.  </w:t>
      </w:r>
    </w:p>
    <w:p>
      <w:pPr>
        <w:pStyle w:val="ListBullet"/>
        <w:keepLines w:val="1"/>
        <w:widowControl w:val="1"/>
      </w:pPr>
      <w:r>
        <w:t>Valores 81–100: madurez alta, probablemente objeto de envidia en foros especializados.</w:t>
      </w:r>
    </w:p>
    <w:p>
      <w:r>
        <w:t>Es aconsejable mostrar la evolución del IGM respecto a años anteriores, si existen datos, para subrayar tendencias: subir lentamente suele ser mejor que alternar heroísmo y abandono.</w:t>
      </w:r>
    </w:p>
    <w:p>
      <w:pPr>
        <w:pStyle w:val="Heading2"/>
        <w:keepNext/>
        <w:keepLines/>
      </w:pPr>
      <w:r>
        <w:rPr>
          <w:color w:val="0066CC"/>
        </w:rPr>
        <w:t>4. Desglose por dimensiones</w:t>
      </w:r>
    </w:p>
    <w:p>
      <w:r>
        <w:t>A continuación, se analiza cada dimensión:</w:t>
      </w:r>
    </w:p>
    <w:p>
      <w:pPr>
        <w:pStyle w:val="Heading3"/>
        <w:keepNext/>
        <w:keepLines/>
      </w:pPr>
      <w:r>
        <w:t>4.1 Metodología y alcance del análisis de riesgos</w:t>
      </w:r>
    </w:p>
    <w:p>
      <w:r>
        <w:t>Aquí se valora si el análisis de riesgos:</w:t>
      </w:r>
    </w:p>
    <w:p>
      <w:pPr>
        <w:pStyle w:val="ListBullet"/>
        <w:keepLines w:val="1"/>
        <w:keepNext w:val="1"/>
        <w:widowControl w:val="1"/>
      </w:pPr>
      <w:r>
        <w:t xml:space="preserve">Está formalizado, documentado y alineado con PILAR y ENS.  </w:t>
      </w:r>
    </w:p>
    <w:p>
      <w:pPr>
        <w:pStyle w:val="ListBullet"/>
        <w:keepLines w:val="1"/>
        <w:keepNext w:val="1"/>
        <w:widowControl w:val="1"/>
      </w:pPr>
      <w:r>
        <w:t xml:space="preserve">Se aplica con una frecuencia razonable.  </w:t>
      </w:r>
    </w:p>
    <w:p>
      <w:pPr>
        <w:pStyle w:val="ListBullet"/>
        <w:keepLines w:val="1"/>
        <w:widowControl w:val="1"/>
      </w:pPr>
      <w:r>
        <w:t>Cubre realmente los sistemas y activos críticos.</w:t>
      </w:r>
    </w:p>
    <w:p>
      <w:r>
        <w:t>Un IGM alto en esta dimensión indica que la organización sabe lo que hace cuando habla de riesgo; uno bajo sugiere que las decisiones dependen excesivamente del instinto o del calendario de auditorías.</w:t>
      </w:r>
    </w:p>
    <w:p>
      <w:pPr>
        <w:pStyle w:val="Heading3"/>
        <w:keepNext/>
        <w:keepLines/>
      </w:pPr>
      <w:r>
        <w:t>4.2 Modelado de activos, dominios y dependencias</w:t>
      </w:r>
    </w:p>
    <w:p>
      <w:r>
        <w:t>Se destaca:</w:t>
      </w:r>
    </w:p>
    <w:p>
      <w:pPr>
        <w:pStyle w:val="ListBullet"/>
        <w:keepLines w:val="1"/>
        <w:keepNext w:val="1"/>
        <w:widowControl w:val="1"/>
      </w:pPr>
      <w:r>
        <w:t xml:space="preserve">La existencia de un catálogo de activos coherente.  </w:t>
      </w:r>
    </w:p>
    <w:p>
      <w:pPr>
        <w:pStyle w:val="ListBullet"/>
        <w:keepLines w:val="1"/>
        <w:keepNext w:val="1"/>
        <w:widowControl w:val="1"/>
      </w:pPr>
      <w:r>
        <w:t xml:space="preserve">El uso (o ausencia) de dominios de seguridad, zonas y fronteras.  </w:t>
      </w:r>
    </w:p>
    <w:p>
      <w:pPr>
        <w:pStyle w:val="ListBullet"/>
        <w:keepLines w:val="1"/>
        <w:widowControl w:val="1"/>
      </w:pPr>
      <w:r>
        <w:t>El grado de claridad en las dependencias de negocio y de infraestructura.</w:t>
      </w:r>
    </w:p>
    <w:p>
      <w:r>
        <w:t>Aquí conviene señalar si existen “puntos únicos de fallo” especialmente preocupantes, así como si se aprovecha el modelado para la resiliencia y la continuidad.</w:t>
      </w:r>
    </w:p>
    <w:p>
      <w:pPr>
        <w:pStyle w:val="Heading3"/>
        <w:keepNext/>
        <w:keepLines/>
      </w:pPr>
      <w:r>
        <w:t>4.3 Madurez de salvaguardas y controles ENS</w:t>
      </w:r>
    </w:p>
    <w:p>
      <w:r>
        <w:t>Esta sección traduce los L0–L5 en palabras:</w:t>
      </w:r>
    </w:p>
    <w:p>
      <w:pPr>
        <w:pStyle w:val="ListBullet"/>
        <w:keepLines w:val="1"/>
        <w:keepNext w:val="1"/>
        <w:widowControl w:val="1"/>
      </w:pPr>
      <w:r>
        <w:t xml:space="preserve">¿Hay medidas inexistentes donde la normativa o el sentido común las darían por supuestas?  </w:t>
      </w:r>
    </w:p>
    <w:p>
      <w:pPr>
        <w:pStyle w:val="ListBullet"/>
        <w:keepLines w:val="1"/>
        <w:keepNext w:val="1"/>
        <w:widowControl w:val="1"/>
      </w:pPr>
      <w:r>
        <w:t xml:space="preserve">¿Predominan controles ad hoc o ya se ha alcanzado el nivel de procesos definidos y medibles?  </w:t>
      </w:r>
    </w:p>
    <w:p>
      <w:pPr>
        <w:pStyle w:val="ListBullet"/>
        <w:keepLines w:val="1"/>
        <w:widowControl w:val="1"/>
      </w:pPr>
      <w:r>
        <w:t>¿Hasta qué punto se diferencian cumplimiento formal y eficacia real?</w:t>
      </w:r>
    </w:p>
    <w:p>
      <w:r>
        <w:t>Se pueden incluir ejemplos ilustrativos (sin señalar culpables con nombre y apellidos).</w:t>
      </w:r>
    </w:p>
    <w:p>
      <w:pPr>
        <w:pStyle w:val="Heading3"/>
        <w:keepNext/>
        <w:keepLines/>
      </w:pPr>
      <w:r>
        <w:t>4.4 Integración en ciclo de vida, continuidad y métricas</w:t>
      </w:r>
    </w:p>
    <w:p>
      <w:r>
        <w:t>Se valora:</w:t>
      </w:r>
    </w:p>
    <w:p>
      <w:pPr>
        <w:pStyle w:val="ListBullet"/>
        <w:keepLines w:val="1"/>
        <w:keepNext w:val="1"/>
        <w:widowControl w:val="1"/>
      </w:pPr>
      <w:r>
        <w:t xml:space="preserve">Si el análisis de riesgos se integra desde el diseño de los proyectos.  </w:t>
      </w:r>
    </w:p>
    <w:p>
      <w:pPr>
        <w:pStyle w:val="ListBullet"/>
        <w:keepLines w:val="1"/>
        <w:keepNext w:val="1"/>
        <w:widowControl w:val="1"/>
      </w:pPr>
      <w:r>
        <w:t xml:space="preserve">Si los planes de continuidad se apoyan en los riesgos identificados.  </w:t>
      </w:r>
    </w:p>
    <w:p>
      <w:pPr>
        <w:pStyle w:val="ListBullet"/>
        <w:keepLines w:val="1"/>
        <w:widowControl w:val="1"/>
      </w:pPr>
      <w:r>
        <w:t>Si existen cuadros de mando y semáforos que dialogan con la dirección.</w:t>
      </w:r>
    </w:p>
    <w:p>
      <w:r>
        <w:t>Un buen resultado aquí indica que la seguridad no vive en un anexo, sino en la gestión diaria.</w:t>
      </w:r>
    </w:p>
    <w:p>
      <w:pPr>
        <w:pStyle w:val="Heading3"/>
        <w:keepNext/>
        <w:keepLines/>
      </w:pPr>
      <w:r>
        <w:t>4.5 Cultura, recursos y gobierno</w:t>
      </w:r>
    </w:p>
    <w:p>
      <w:r>
        <w:t>Finalmente, se aborda:</w:t>
      </w:r>
    </w:p>
    <w:p>
      <w:pPr>
        <w:pStyle w:val="ListBullet"/>
        <w:keepLines w:val="1"/>
        <w:keepNext w:val="1"/>
        <w:widowControl w:val="1"/>
      </w:pPr>
      <w:r>
        <w:t xml:space="preserve">El nivel de sensibilización de la plantilla.  </w:t>
      </w:r>
    </w:p>
    <w:p>
      <w:pPr>
        <w:pStyle w:val="ListBullet"/>
        <w:keepLines w:val="1"/>
        <w:keepNext w:val="1"/>
        <w:widowControl w:val="1"/>
      </w:pPr>
      <w:r>
        <w:t xml:space="preserve">La dotación de recursos humanos.  </w:t>
      </w:r>
    </w:p>
    <w:p>
      <w:pPr>
        <w:pStyle w:val="ListBullet"/>
        <w:keepLines w:val="1"/>
        <w:widowControl w:val="1"/>
      </w:pPr>
      <w:r>
        <w:t>La actitud general frente al riesgo (desde el realismo hasta el negacionismo esperanzado).</w:t>
      </w:r>
    </w:p>
    <w:p>
      <w:r>
        <w:t>Este apartado suele explicar por qué las demás dimensiones son como son.</w:t>
      </w:r>
    </w:p>
    <w:p>
      <w:pPr>
        <w:pStyle w:val="Heading2"/>
        <w:keepNext/>
        <w:keepLines/>
      </w:pPr>
      <w:r>
        <w:rPr>
          <w:color w:val="0066CC"/>
        </w:rPr>
        <w:t>5. Hallazgos clave y paradojas saludables</w:t>
      </w:r>
    </w:p>
    <w:p>
      <w:r>
        <w:t>Es recomendable sintetizar entre tres y cinco hallazgos clave, del tipo:</w:t>
      </w:r>
    </w:p>
    <w:p>
      <w:pPr>
        <w:pStyle w:val="ListBullet"/>
        <w:keepLines w:val="1"/>
        <w:keepNext w:val="1"/>
        <w:widowControl w:val="1"/>
      </w:pPr>
      <w:r>
        <w:t xml:space="preserve">“Elevada madurez en controles técnicos, pero baja participación del negocio en la definición de requisitos”.  </w:t>
      </w:r>
    </w:p>
    <w:p>
      <w:pPr>
        <w:pStyle w:val="ListBullet"/>
        <w:keepLines w:val="1"/>
        <w:keepNext w:val="1"/>
        <w:widowControl w:val="1"/>
      </w:pPr>
      <w:r>
        <w:t xml:space="preserve">“Planes de continuidad bien definidos, pero poco ensayados”.  </w:t>
      </w:r>
    </w:p>
    <w:p>
      <w:pPr>
        <w:pStyle w:val="ListBullet"/>
        <w:keepLines w:val="1"/>
        <w:widowControl w:val="1"/>
      </w:pPr>
      <w:r>
        <w:t>“Informes detallados que apenas llegan al comité de dirección, o cuando llegan ya son historia antigua”.</w:t>
      </w:r>
    </w:p>
    <w:p>
      <w:r>
        <w:t>La narrativa puede permitirse una ironía amable para resaltar contradicciones, siempre que vaya acompañada de propuestas constructivas.</w:t>
      </w:r>
    </w:p>
    <w:p>
      <w:pPr>
        <w:pStyle w:val="Heading2"/>
        <w:keepNext/>
        <w:keepLines/>
      </w:pPr>
      <w:r>
        <w:rPr>
          <w:color w:val="0066CC"/>
        </w:rPr>
        <w:t>6. Recomendaciones priorizadas</w:t>
      </w:r>
    </w:p>
    <w:p>
      <w:r>
        <w:t>En lugar de una lista infinita de deseos, se propone presentar un conjunto acotado de recomendaciones priorizadas, cada una con:</w:t>
      </w:r>
    </w:p>
    <w:p>
      <w:pPr>
        <w:pStyle w:val="ListBullet"/>
        <w:keepLines w:val="1"/>
        <w:keepNext w:val="1"/>
        <w:widowControl w:val="1"/>
      </w:pPr>
      <w:r>
        <w:t xml:space="preserve">Impacto esperado en el IGM y en el riesgo residual.  </w:t>
      </w:r>
    </w:p>
    <w:p>
      <w:pPr>
        <w:pStyle w:val="ListBullet"/>
        <w:keepLines w:val="1"/>
        <w:keepNext w:val="1"/>
        <w:widowControl w:val="1"/>
      </w:pPr>
      <w:r>
        <w:t xml:space="preserve">Esfuerzo aproximado.  </w:t>
      </w:r>
    </w:p>
    <w:p>
      <w:pPr>
        <w:pStyle w:val="ListBullet"/>
        <w:keepLines w:val="1"/>
        <w:widowControl w:val="1"/>
      </w:pPr>
      <w:r>
        <w:t>Dependencias con otros proyectos.</w:t>
      </w:r>
    </w:p>
    <w:p>
      <w:r>
        <w:t>Por ejemplo:</w:t>
      </w:r>
    </w:p>
    <w:p>
      <w:pPr>
        <w:pStyle w:val="ListBullet"/>
        <w:keepLines w:val="1"/>
        <w:keepNext w:val="1"/>
        <w:widowControl w:val="1"/>
      </w:pPr>
      <w:r>
        <w:t xml:space="preserve">“Formalizar y aprobar una metodología de análisis de riesgos alineada con PILAR y ENS, con revisión anual: impacto alto, esfuerzo medio, dependencia de apoyo directivo”.  </w:t>
      </w:r>
    </w:p>
    <w:p>
      <w:pPr>
        <w:pStyle w:val="ListBullet"/>
        <w:keepLines w:val="1"/>
        <w:widowControl w:val="1"/>
      </w:pPr>
      <w:r>
        <w:t>“Integrar sistemáticamente el análisis de riesgos en el ciclo de vida de proyectos TIC: impacto alto, esfuerzo alto, dependencia de oficina de proyectos”.</w:t>
      </w:r>
    </w:p>
    <w:p>
      <w:pPr>
        <w:pStyle w:val="Heading2"/>
        <w:keepNext/>
        <w:keepLines/>
      </w:pPr>
      <w:r>
        <w:rPr>
          <w:color w:val="0066CC"/>
        </w:rPr>
        <w:t>7. Limitaciones del análisis y próximos pasos</w:t>
      </w:r>
    </w:p>
    <w:p>
      <w:r>
        <w:t>Es honesto recordar:</w:t>
      </w:r>
    </w:p>
    <w:p>
      <w:pPr>
        <w:pStyle w:val="ListBullet"/>
        <w:keepLines w:val="1"/>
        <w:keepNext w:val="1"/>
        <w:widowControl w:val="1"/>
      </w:pPr>
      <w:r>
        <w:t xml:space="preserve">Que la encuesta refleja percepciones, aunque estén apoyadas en datos.  </w:t>
      </w:r>
    </w:p>
    <w:p>
      <w:pPr>
        <w:pStyle w:val="ListBullet"/>
        <w:keepLines w:val="1"/>
        <w:keepNext w:val="1"/>
        <w:widowControl w:val="1"/>
      </w:pPr>
      <w:r>
        <w:t xml:space="preserve">Que algunos ámbitos pueden haber sido infra o sobrevalorados.  </w:t>
      </w:r>
    </w:p>
    <w:p>
      <w:pPr>
        <w:pStyle w:val="ListBullet"/>
        <w:keepLines w:val="1"/>
        <w:widowControl w:val="1"/>
      </w:pPr>
      <w:r>
        <w:t>Que el IGM y los indicadores son instrumentos para el diálogo, no sentencias grabadas en piedra.</w:t>
      </w:r>
    </w:p>
    <w:p>
      <w:r>
        <w:t>Se recomienda cerrar con una propuesta de próximos pasos:</w:t>
      </w:r>
    </w:p>
    <w:p>
      <w:pPr>
        <w:pStyle w:val="ListBullet"/>
        <w:keepLines w:val="1"/>
        <w:keepNext w:val="1"/>
        <w:widowControl w:val="1"/>
      </w:pPr>
      <w:r>
        <w:t xml:space="preserve">Revisión conjunta de resultados con los equipos implicados.  </w:t>
      </w:r>
    </w:p>
    <w:p>
      <w:pPr>
        <w:pStyle w:val="ListBullet"/>
        <w:keepLines w:val="1"/>
        <w:keepNext w:val="1"/>
        <w:widowControl w:val="1"/>
      </w:pPr>
      <w:r>
        <w:t xml:space="preserve">Identificación de acciones concretas para el siguiente año.  </w:t>
      </w:r>
    </w:p>
    <w:p>
      <w:pPr>
        <w:pStyle w:val="ListBullet"/>
        <w:keepLines w:val="1"/>
        <w:widowControl w:val="1"/>
      </w:pPr>
      <w:r>
        <w:t>Preparación de la siguiente iteración de la encuesta y del análisis de riesgos.</w:t>
      </w:r>
    </w:p>
    <w:p>
      <w:pPr>
        <w:pStyle w:val="Heading2"/>
        <w:keepNext/>
        <w:keepLines/>
      </w:pPr>
      <w:r>
        <w:rPr>
          <w:color w:val="0066CC"/>
        </w:rPr>
        <w:t>8. Epílogo opcional</w:t>
      </w:r>
    </w:p>
    <w:p>
      <w:r>
        <w:t>Si el estilo de la organización lo permite, puede añadirse un breve epílogo:</w:t>
      </w:r>
    </w:p>
    <w:p>
      <w:r>
        <w:t>“No aspiramos a la perfección inmediata, sino a ser cada año un poco menos vulnerables y un poco más conscientes de por qué lo somos.</w:t>
      </w:r>
      <w:r/>
      <w:r>
        <w:br/>
        <w:t>La buena noticia es que ya sabemos dónde nos duele; la mala sería no hacer nada con este conocimiento.”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