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GQM de objetivos, preguntas y métricas a requisitos ENS / PILAR</w:t>
      </w:r>
    </w:p>
    <w:p>
      <w:r>
        <w:t>Correspondencia entre cada elemento del marco GQM y las referencias normativas ENS y capacidades de PILAR.</w:t>
      </w:r>
    </w:p>
    <w:p>
      <w:pPr>
        <w:pStyle w:val="Heading2"/>
        <w:keepNext/>
        <w:keepLines/>
      </w:pPr>
      <w:r>
        <w:rPr>
          <w:color w:val="0066CC"/>
        </w:rPr>
        <w:t>1. Tabla de mapeo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Identificador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ENS / normativa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Elementos PILAR relevantes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Mantener el riesgo residual en niveles aceptables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art. 14 – Análisis y gestión de riesgos; principios de proporcionalidad [web:12]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Cálculo de riesgo potencial y residual; árboles de riesgo repercutido/acumulado [web:38]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Asegurar madurez adecuada de salvaguardas y controles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anexo II – Medidas de seguridad; guías de madurez ENS [web:23]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L0–L5 de salvaguardas; perfiles ENS [web:39][web:18]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Proveer indicadores útiles para decisiones e inversiones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Organización de la seguridad, revisión continua [web:12]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Recomendación 0–10, semáforos, informes de madurez y riesgo [web:40][web:1]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Question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Riesgo residual de activos esenciales por dimensión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Protección de la información y servicios esenciales [web:12]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Riesgo repercutido por activo esencial y dimensión C/I/D/etc. [web:38]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Question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Concentración de riesgo por activos, dominios, servicios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Clasificación de sistemas y servicios [web:12]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Árbol de riesgos por nivel (activos esenciales, soporte, amenazas) [web:38][web:40]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Question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Riesgos residuales que superan umbrales aceptables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Aceptación y tratamiento del riesgo [web:12]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Valores de riesgo residual por escenario/amenaza [web:38]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Question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Madurez media L0–L5 de salvaguardas por dominio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Implementación de medidas de seguridad [web:23]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Tabla de salvaguardas y madurez por dominio [web:39][web:18]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Question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Diferencia entre madurez actual y objetivo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Mejora continua y planificación de medidas [web:12]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Fases de proyecto; recomendación de madurez; semáforo [web:1][web:40]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Question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Medidas en overkill / underkill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Proporcionalidad de medidas [web:12]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Análisis de adaptación de medidas al riesgo, recomendación vs. madurez [web:46]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Question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Q3.1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Salvaguardas de mayor valor y baja madurez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Prioridad a medidas críticas [web:12]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Recomendación 0–10 combinada con L0–L5 [web:40][web:18]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Question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Q3.2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Reducción de riesgo por incremento de madurez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Eficacia de medidas; coste/beneficio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Cálculo de riesgo antes/después de cambios de madurez [web:38][web:39]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Question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Q3.3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Comprensibilidad y accionabilidad de las métricas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Comunicación a la dirección, concienciación [web:12]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Informes y cuadros de mando derivados de PILAR [web:1][web:40]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Metric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Riesgo medio repercutido (0–10) por dimensión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Protección de información y servicios esenciales [web:12]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Niveles de riesgo repercutido en activos esenciales [web:38]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Metric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activos esenciales con riesgo alto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Gestión de riesgos significativos [web:12]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Filtros sobre valores de riesgo repercutido [web:38]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Metric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Riesgo acumulado por dominio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Segmentación y zonas; análisis de impacto [web:12]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Riesgo acumulado de activos de soporte por dominio [web:38][web:40]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Metric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Nº riesgos residuales sobre umbral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Aceptación del riesgo [web:12]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Listado de escenarios con riesgo residual ≥ umbral [web:38]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Metric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Madurez media L0–L5 por dominio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Índices de madurez de medidas [web:23]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Valores L0–L5 de salvaguardas en dominios [web:39][web:18]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Metric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salvaguardas en verde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Revisión de medidas y mejora continua [web:12]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Semáforo comparando madurez actual vs. objetivo [web:1][web:40]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Metric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Ratio rojo/amarillo en salvaguardas críticas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Priorización de medidas significativas [web:12]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Cruce de recomendación y semáforo [web:40][web:46]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Metric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Distribución L0–L5 en controles ENS obligatorios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Cumplimiento de medidas obligatorias [web:23]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Perfil ENS, salvaguardas etiquetadas como obligatorias [web:39]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Metric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M3.1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Top-N salvaguardas de alto valor y baja madurez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Plan de adecuación priorizado [web:12]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Ordenación por recomendación y madurez [web:40][web:46]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Metric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M3.2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Δ riesgo por Δ madurez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Proporcionalidad y eficiencia de medidas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Simulación de escenarios en PILAR (antes/después) [web:38][web:39]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Metric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M3.3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Índice de cobertura ENS por madurez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– Adecuación global a medidas [web:23]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Porcentaje de medidas ENS aplicables en L≥L3 [web:39]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Metric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M3.4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Coste / riesgo mitigado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ENS – Uso eficiente de recursos [web:12]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Riesgo mitigado estimado (PILAR) + datos de coste externos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Uso del mapeo</w:t>
      </w:r>
    </w:p>
    <w:p>
      <w:pPr>
        <w:pStyle w:val="ListBullet"/>
        <w:keepLines w:val="1"/>
        <w:keepNext w:val="1"/>
        <w:widowControl w:val="1"/>
      </w:pPr>
      <w:r>
        <w:t xml:space="preserve">Verificar que cada objetivo y métrica tiene una referencia explícita en el ENS o guías asociadas.  </w:t>
      </w:r>
    </w:p>
    <w:p>
      <w:pPr>
        <w:pStyle w:val="ListBullet"/>
        <w:keepLines w:val="1"/>
        <w:keepNext w:val="1"/>
        <w:widowControl w:val="1"/>
      </w:pPr>
      <w:r>
        <w:t xml:space="preserve">Documentar, junto a cada métrica, la sección del proyecto PILAR donde se obtiene el dato.  </w:t>
      </w:r>
    </w:p>
    <w:p>
      <w:pPr>
        <w:pStyle w:val="ListBullet"/>
        <w:keepLines w:val="1"/>
        <w:widowControl w:val="1"/>
      </w:pPr>
      <w:r>
        <w:t>Facilitar el trabajo a auditores y revisores ENS, mostrando la trazabilidad completa de GQM.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