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para Cálculo de IGM y ROI de Seguridad (PILAR–ENS)</w:t>
      </w:r>
    </w:p>
    <w:p>
      <w:r>
        <w:t>Descripción estructurada para implementar una hoja de cálculo que consolide las respuestas de la encuesta, calcule el Índice Global de Madurez (IGM) y sirva de base para estimar el ROI de las inversiones en seguridad.</w:t>
      </w:r>
    </w:p>
    <w:p>
      <w:pPr>
        <w:pStyle w:val="Heading2"/>
        <w:keepNext/>
        <w:keepLines/>
      </w:pPr>
      <w:r>
        <w:rPr>
          <w:color w:val="0066CC"/>
        </w:rPr>
        <w:t>1. Estructura general del libro</w:t>
      </w:r>
    </w:p>
    <w:p>
      <w:r>
        <w:t>Se recomienda crear al menos cuatro hojas:</w:t>
      </w:r>
    </w:p>
    <w:p>
      <w:pPr>
        <w:pStyle w:val="ListNumber"/>
        <w:keepLines w:val="1"/>
        <w:keepNext w:val="1"/>
        <w:widowControl w:val="1"/>
      </w:pPr>
      <w:r>
        <w:t xml:space="preserve">RespuestasEncuesta </w:t>
      </w:r>
    </w:p>
    <w:p>
      <w:pPr>
        <w:pStyle w:val="ListNumber"/>
        <w:keepLines w:val="1"/>
        <w:keepNext w:val="1"/>
        <w:widowControl w:val="1"/>
      </w:pPr>
      <w:r>
        <w:t xml:space="preserve">MapeoPreguntas </w:t>
      </w:r>
    </w:p>
    <w:p>
      <w:pPr>
        <w:pStyle w:val="ListNumber"/>
        <w:keepLines w:val="1"/>
        <w:keepNext w:val="1"/>
        <w:widowControl w:val="1"/>
      </w:pPr>
      <w:r>
        <w:t xml:space="preserve">CalculoIGM </w:t>
      </w:r>
    </w:p>
    <w:p>
      <w:pPr>
        <w:pStyle w:val="ListNumber"/>
        <w:keepLines w:val="1"/>
        <w:widowControl w:val="1"/>
      </w:pPr>
      <w:r>
        <w:t>ROI_Seguridad</w:t>
      </w:r>
    </w:p>
    <w:p>
      <w:pPr>
        <w:pStyle w:val="Heading2"/>
        <w:keepNext/>
        <w:keepLines/>
      </w:pPr>
      <w:r>
        <w:rPr>
          <w:color w:val="0066CC"/>
        </w:rPr>
        <w:t>2. Hoja RespuestasEncuesta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A: Nº pregunta (ej. 2.1, 5.3, 9.1)  </w:t>
      </w:r>
    </w:p>
    <w:p>
      <w:pPr>
        <w:pStyle w:val="ListBullet"/>
        <w:keepLines w:val="1"/>
        <w:keepNext w:val="1"/>
        <w:widowControl w:val="1"/>
      </w:pPr>
      <w:r>
        <w:t xml:space="preserve">B: Descripción breve de la pregunta  </w:t>
      </w:r>
    </w:p>
    <w:p>
      <w:pPr>
        <w:pStyle w:val="ListBullet"/>
        <w:keepLines w:val="1"/>
        <w:keepNext w:val="1"/>
        <w:widowControl w:val="1"/>
      </w:pPr>
      <w:r>
        <w:t xml:space="preserve">C: Respuesta seleccionada (texto)  </w:t>
      </w:r>
    </w:p>
    <w:p>
      <w:pPr>
        <w:pStyle w:val="ListBullet"/>
        <w:keepLines w:val="1"/>
        <w:keepNext w:val="1"/>
        <w:widowControl w:val="1"/>
      </w:pPr>
      <w:r>
        <w:t xml:space="preserve">D: Valor numérico asociado (0–100)  </w:t>
      </w:r>
    </w:p>
    <w:p>
      <w:pPr>
        <w:pStyle w:val="ListBullet"/>
        <w:keepLines w:val="1"/>
        <w:widowControl w:val="1"/>
      </w:pPr>
      <w:r>
        <w:t>E: Comentarios adicionales (opcional)</w:t>
      </w:r>
    </w:p>
    <w:p>
      <w:r>
        <w:t xml:space="preserve">Las celdas de la columna C pueden implementarse con listas desplegables, y la columna D se calcularía mediante tablas de búsqueda (por ejemplo, usando </w:t>
      </w:r>
      <w:r>
        <w:rPr>
          <w:rFonts w:ascii="Courier New" w:hAnsi="Courier New"/>
          <w:sz w:val="18"/>
        </w:rPr>
        <w:t>BUSCARV</w:t>
      </w:r>
      <w:r>
        <w:t xml:space="preserve"> o </w:t>
      </w:r>
      <w:r>
        <w:rPr>
          <w:rFonts w:ascii="Courier New" w:hAnsi="Courier New"/>
          <w:sz w:val="18"/>
        </w:rPr>
        <w:t>XLOOKUP</w:t>
      </w:r>
      <w:r>
        <w:t xml:space="preserve">) apoyadas en la hoja </w:t>
      </w:r>
      <w:r>
        <w:rPr>
          <w:rFonts w:ascii="Courier New" w:hAnsi="Courier New"/>
          <w:sz w:val="18"/>
        </w:rPr>
        <w:t>MapeoPreguntas</w:t>
      </w:r>
      <w:r>
        <w:t>.</w:t>
      </w:r>
    </w:p>
    <w:p>
      <w:pPr>
        <w:pStyle w:val="Heading2"/>
        <w:keepNext/>
        <w:keepLines/>
      </w:pPr>
      <w:r>
        <w:rPr>
          <w:color w:val="0066CC"/>
        </w:rPr>
        <w:t>3. Hoja MapeoPreguntas</w:t>
      </w:r>
    </w:p>
    <w:p>
      <w:r>
        <w:t>Para cada pregunta:</w:t>
      </w:r>
    </w:p>
    <w:p>
      <w:pPr>
        <w:pStyle w:val="ListBullet"/>
        <w:keepLines w:val="1"/>
        <w:keepNext w:val="1"/>
        <w:widowControl w:val="1"/>
      </w:pPr>
      <w:r>
        <w:t xml:space="preserve">A: Nº pregunta  </w:t>
      </w:r>
    </w:p>
    <w:p>
      <w:pPr>
        <w:pStyle w:val="ListBullet"/>
        <w:keepLines w:val="1"/>
        <w:keepNext w:val="1"/>
        <w:widowControl w:val="1"/>
      </w:pPr>
      <w:r>
        <w:t xml:space="preserve">B: Tipo de escala (L0–L5, 1–5, binaria, etc.)  </w:t>
      </w:r>
    </w:p>
    <w:p>
      <w:pPr>
        <w:pStyle w:val="ListBullet"/>
        <w:keepLines w:val="1"/>
        <w:keepNext w:val="1"/>
        <w:widowControl w:val="1"/>
      </w:pPr>
      <w:r>
        <w:t xml:space="preserve">C–G: Correspondencia entre opciones de respuesta y valor numérico (0–100)  </w:t>
      </w:r>
    </w:p>
    <w:p>
      <w:pPr>
        <w:pStyle w:val="ListBullet"/>
        <w:keepLines w:val="1"/>
        <w:keepNext w:val="1"/>
        <w:widowControl w:val="1"/>
      </w:pPr>
      <w:r>
        <w:t xml:space="preserve">H: Dimensión IGM asociada (1 a 5)  </w:t>
      </w:r>
    </w:p>
    <w:p>
      <w:pPr>
        <w:pStyle w:val="ListBullet"/>
        <w:keepLines w:val="1"/>
        <w:widowControl w:val="1"/>
      </w:pPr>
      <w:r>
        <w:t xml:space="preserve">I: Peso relativo de la pregunta dentro de la dimensión  </w:t>
      </w:r>
    </w:p>
    <w:p>
      <w:r>
        <w:t>Ejemplo de fila para una pregunta de madurez L0–L5:</w:t>
      </w:r>
    </w:p>
    <w:p>
      <w:pPr>
        <w:pStyle w:val="ListBullet"/>
        <w:keepLines w:val="1"/>
        <w:keepNext w:val="1"/>
        <w:widowControl w:val="1"/>
      </w:pPr>
      <w:r>
        <w:t xml:space="preserve">A: 5.4  </w:t>
      </w:r>
    </w:p>
    <w:p>
      <w:pPr>
        <w:pStyle w:val="ListBullet"/>
        <w:keepLines w:val="1"/>
        <w:keepNext w:val="1"/>
        <w:widowControl w:val="1"/>
      </w:pPr>
      <w:r>
        <w:t xml:space="preserve">B: L0–L5  </w:t>
      </w:r>
    </w:p>
    <w:p>
      <w:pPr>
        <w:pStyle w:val="ListBullet"/>
        <w:keepLines w:val="1"/>
        <w:keepNext w:val="1"/>
        <w:widowControl w:val="1"/>
      </w:pPr>
      <w:r>
        <w:t xml:space="preserve">C: L0 → 0  </w:t>
      </w:r>
    </w:p>
    <w:p>
      <w:pPr>
        <w:pStyle w:val="ListBullet"/>
        <w:keepLines w:val="1"/>
        <w:keepNext w:val="1"/>
        <w:widowControl w:val="1"/>
      </w:pPr>
      <w:r>
        <w:t xml:space="preserve">D: L1 → 10  </w:t>
      </w:r>
    </w:p>
    <w:p>
      <w:pPr>
        <w:pStyle w:val="ListBullet"/>
        <w:keepLines w:val="1"/>
        <w:keepNext w:val="1"/>
        <w:widowControl w:val="1"/>
      </w:pPr>
      <w:r>
        <w:t xml:space="preserve">E: L2 → 50  </w:t>
      </w:r>
    </w:p>
    <w:p>
      <w:pPr>
        <w:pStyle w:val="ListBullet"/>
        <w:keepLines w:val="1"/>
        <w:keepNext w:val="1"/>
        <w:widowControl w:val="1"/>
      </w:pPr>
      <w:r>
        <w:t xml:space="preserve">F: L3 → 80  </w:t>
      </w:r>
    </w:p>
    <w:p>
      <w:pPr>
        <w:pStyle w:val="ListBullet"/>
        <w:keepLines w:val="1"/>
        <w:keepNext w:val="1"/>
        <w:widowControl w:val="1"/>
      </w:pPr>
      <w:r>
        <w:t xml:space="preserve">G: L4 → 90; L5 → 100  </w:t>
      </w:r>
    </w:p>
    <w:p>
      <w:pPr>
        <w:pStyle w:val="ListBullet"/>
        <w:keepLines w:val="1"/>
        <w:keepNext w:val="1"/>
        <w:widowControl w:val="1"/>
      </w:pPr>
      <w:r>
        <w:t xml:space="preserve">H: 3 (Madurez de salvaguardas y controles)  </w:t>
      </w:r>
    </w:p>
    <w:p>
      <w:pPr>
        <w:pStyle w:val="ListBullet"/>
        <w:keepLines w:val="1"/>
        <w:widowControl w:val="1"/>
      </w:pPr>
      <w:r>
        <w:t>I: 1 (peso relativo dentro de la dimensión)</w:t>
      </w:r>
    </w:p>
    <w:p>
      <w:r>
        <w:t>Esta hoja actúa como “tabla de verdad” de la encuesta.</w:t>
      </w:r>
    </w:p>
    <w:p>
      <w:pPr>
        <w:pStyle w:val="Heading2"/>
        <w:keepNext/>
        <w:keepLines/>
      </w:pPr>
      <w:r>
        <w:rPr>
          <w:color w:val="0066CC"/>
        </w:rPr>
        <w:t>4. Hoja CalculoIGM</w:t>
      </w:r>
    </w:p>
    <w:p>
      <w:r>
        <w:t>Secciones principales:</w:t>
      </w:r>
    </w:p>
    <w:p>
      <w:pPr>
        <w:pStyle w:val="Heading3"/>
        <w:keepNext/>
        <w:keepLines/>
      </w:pPr>
      <w:r>
        <w:t>4.1 Cálculo de valor por pregunta</w:t>
      </w:r>
    </w:p>
    <w:p>
      <w:r>
        <w:t xml:space="preserve">Para cada pregunta, se toma el valor numérico de </w:t>
      </w:r>
      <w:r>
        <w:rPr>
          <w:rFonts w:ascii="Courier New" w:hAnsi="Courier New"/>
          <w:sz w:val="18"/>
        </w:rPr>
        <w:t>RespuestasEncuesta!D</w:t>
      </w:r>
      <w:r>
        <w:t xml:space="preserve"> y se asigna a la dimensión correspondiente usando el mapeo de </w:t>
      </w:r>
      <w:r>
        <w:rPr>
          <w:rFonts w:ascii="Courier New" w:hAnsi="Courier New"/>
          <w:sz w:val="18"/>
        </w:rPr>
        <w:t>MapeoPreguntas</w:t>
      </w:r>
      <w:r>
        <w:t>.</w:t>
      </w:r>
    </w:p>
    <w:p>
      <w:pPr>
        <w:pStyle w:val="Heading3"/>
        <w:keepNext/>
        <w:keepLines/>
      </w:pPr>
      <w:r>
        <w:t>4.2 Cálculo de cada dimensión</w:t>
      </w:r>
    </w:p>
    <w:p>
      <w:r>
        <w:t>Para la dimensión (i):</w:t>
      </w:r>
    </w:p>
    <w:p>
      <w:pPr>
        <w:pStyle w:val="ListBullet"/>
        <w:keepLines w:val="1"/>
        <w:keepNext w:val="1"/>
        <w:widowControl w:val="1"/>
      </w:pPr>
      <w:r>
        <w:t xml:space="preserve">Calcular la suma ponderada de los valores de sus preguntas.  </w:t>
      </w:r>
    </w:p>
    <w:p>
      <w:pPr>
        <w:pStyle w:val="ListBullet"/>
        <w:keepLines w:val="1"/>
        <w:widowControl w:val="1"/>
      </w:pPr>
      <w:r>
        <w:t>Dividir por la suma de los pesos de esas preguntas.</w:t>
      </w:r>
    </w:p>
    <w:p>
      <w:r>
        <w:t>Ejemplo (en pseudofórmula Excel):</w:t>
      </w:r>
    </w:p>
    <w:p>
      <w:pPr>
        <w:pStyle w:val="ListBullet"/>
        <w:keepLines w:val="1"/>
        <w:widowControl w:val="1"/>
      </w:pPr>
      <w:r>
        <w:t>Dim1 = SUMPRODUCT(ValoresDim1; PesosDim1) / SUM(PesosDim1)</w:t>
      </w:r>
    </w:p>
    <w:p>
      <w:r>
        <w:t>Repetir para las cinco dimensiones.</w:t>
      </w:r>
    </w:p>
    <w:p>
      <w:pPr>
        <w:pStyle w:val="Heading3"/>
        <w:keepNext/>
        <w:keepLines/>
      </w:pPr>
      <w:r>
        <w:t>4.3 Cálculo del IGM</w:t>
      </w:r>
    </w:p>
    <w:p>
      <w:r>
        <w:t>Crear celdas:</w:t>
      </w:r>
    </w:p>
    <w:p>
      <w:pPr>
        <w:pStyle w:val="ListBullet"/>
        <w:keepLines w:val="1"/>
        <w:keepNext w:val="1"/>
        <w:widowControl w:val="1"/>
      </w:pPr>
      <w:r>
        <w:t xml:space="preserve">IGM_D1 a IGM_D5 (valores 0–100)  </w:t>
      </w:r>
    </w:p>
    <w:p>
      <w:pPr>
        <w:pStyle w:val="ListBullet"/>
        <w:keepLines w:val="1"/>
        <w:widowControl w:val="1"/>
      </w:pPr>
      <w:r>
        <w:t>Peso_D1 a Peso_D5 (por defecto 0,2 cada uno, pero configurables)</w:t>
      </w:r>
    </w:p>
    <w:p>
      <w:r>
        <w:t>El IGM se calcula como:</w:t>
      </w:r>
    </w:p>
    <w:p>
      <w:pPr>
        <w:pStyle w:val="ListBullet"/>
        <w:keepLines w:val="1"/>
        <w:widowControl w:val="1"/>
      </w:pPr>
      <w:r>
        <w:t>IGM_Total = SUMPRODUCT(IGM_D1:IGM_D5; Peso_D1:Peso_D5)</w:t>
      </w:r>
    </w:p>
    <w:p>
      <w:r>
        <w:t>Se recomienda añadir gráficos de radar o barras para visualizar dimensiones.</w:t>
      </w:r>
    </w:p>
    <w:p>
      <w:pPr>
        <w:pStyle w:val="Heading2"/>
        <w:keepNext/>
        <w:keepLines/>
      </w:pPr>
      <w:r>
        <w:rPr>
          <w:color w:val="0066CC"/>
        </w:rPr>
        <w:t>5. Hoja ROI_Seguridad</w:t>
      </w:r>
    </w:p>
    <w:p>
      <w:r>
        <w:t>La hoja de ROI debe unir:</w:t>
      </w:r>
    </w:p>
    <w:p>
      <w:pPr>
        <w:pStyle w:val="ListBullet"/>
        <w:keepLines w:val="1"/>
        <w:keepNext w:val="1"/>
        <w:widowControl w:val="1"/>
      </w:pPr>
      <w:r>
        <w:t xml:space="preserve">Inversiones realizadas o planificadas.  </w:t>
      </w:r>
    </w:p>
    <w:p>
      <w:pPr>
        <w:pStyle w:val="ListBullet"/>
        <w:keepLines w:val="1"/>
        <w:keepNext w:val="1"/>
        <w:widowControl w:val="1"/>
      </w:pPr>
      <w:r>
        <w:t xml:space="preserve">Impacto esperado en el IGM o en dimensiones concretas.  </w:t>
      </w:r>
    </w:p>
    <w:p>
      <w:pPr>
        <w:pStyle w:val="ListBullet"/>
        <w:keepLines w:val="1"/>
        <w:keepNext w:val="1"/>
        <w:widowControl w:val="1"/>
      </w:pPr>
      <w:r>
        <w:t xml:space="preserve">Reducción estimada de riesgo (pérdida esperada).  </w:t>
      </w:r>
    </w:p>
    <w:p>
      <w:pPr>
        <w:pStyle w:val="ListBullet"/>
        <w:keepLines w:val="1"/>
        <w:widowControl w:val="1"/>
      </w:pPr>
      <w:r>
        <w:t>Fórmulas de retorno de la inversión.</w:t>
      </w:r>
    </w:p>
    <w:p>
      <w:pPr>
        <w:pStyle w:val="Heading3"/>
        <w:keepNext/>
        <w:keepLines/>
      </w:pPr>
      <w:r>
        <w:t>5.1 Tabla de inversiones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A: Proyecto / medida (ej. “Segmentación de red por dominios”)  </w:t>
      </w:r>
    </w:p>
    <w:p>
      <w:pPr>
        <w:pStyle w:val="ListBullet"/>
        <w:keepLines w:val="1"/>
        <w:keepNext w:val="1"/>
        <w:widowControl w:val="1"/>
      </w:pPr>
      <w:r>
        <w:t xml:space="preserve">B: Coste total (CAPEX + OPEX periodo considerado)  </w:t>
      </w:r>
    </w:p>
    <w:p>
      <w:pPr>
        <w:pStyle w:val="ListBullet"/>
        <w:keepLines w:val="1"/>
        <w:keepNext w:val="1"/>
        <w:widowControl w:val="1"/>
      </w:pPr>
      <w:r>
        <w:t xml:space="preserve">C: Dimensiones IGM impactadas (ej. 2 y 3)  </w:t>
      </w:r>
    </w:p>
    <w:p>
      <w:pPr>
        <w:pStyle w:val="ListBullet"/>
        <w:keepLines w:val="1"/>
        <w:keepNext w:val="1"/>
        <w:widowControl w:val="1"/>
      </w:pPr>
      <w:r>
        <w:t xml:space="preserve">D: Incremento esperado en IGM por dimensión (en puntos)  </w:t>
      </w:r>
    </w:p>
    <w:p>
      <w:pPr>
        <w:pStyle w:val="ListBullet"/>
        <w:keepLines w:val="1"/>
        <w:keepNext w:val="1"/>
        <w:widowControl w:val="1"/>
      </w:pPr>
      <w:r>
        <w:t xml:space="preserve">E: Reducción estimada de pérdidas anuales (en euros)  </w:t>
      </w:r>
    </w:p>
    <w:p>
      <w:pPr>
        <w:pStyle w:val="ListBullet"/>
        <w:keepLines w:val="1"/>
        <w:keepNext w:val="1"/>
        <w:widowControl w:val="1"/>
      </w:pPr>
      <w:r>
        <w:t xml:space="preserve">F: Periodo de análisis (años)  </w:t>
      </w:r>
    </w:p>
    <w:p>
      <w:pPr>
        <w:pStyle w:val="ListBullet"/>
        <w:keepLines w:val="1"/>
        <w:keepNext w:val="1"/>
        <w:widowControl w:val="1"/>
      </w:pPr>
      <w:r>
        <w:t xml:space="preserve">G: ROI %  </w:t>
      </w:r>
    </w:p>
    <w:p>
      <w:pPr>
        <w:pStyle w:val="ListBullet"/>
        <w:keepLines w:val="1"/>
        <w:widowControl w:val="1"/>
      </w:pPr>
      <w:r>
        <w:t>H: Payback (años)</w:t>
      </w:r>
    </w:p>
    <w:p>
      <w:r>
        <w:t>Ejemplo de fórmula de ROI:</w:t>
      </w:r>
    </w:p>
    <w:p>
      <w:pPr>
        <w:pStyle w:val="ListBullet"/>
        <w:keepLines w:val="1"/>
        <w:keepNext w:val="1"/>
        <w:widowControl w:val="1"/>
      </w:pPr>
      <w:r>
        <w:t xml:space="preserve">ROI % = (Beneficio_Neto / Coste) * 100 </w:t>
      </w:r>
    </w:p>
    <w:p>
      <w:pPr>
        <w:pStyle w:val="ListBullet"/>
        <w:keepLines w:val="1"/>
        <w:widowControl w:val="1"/>
      </w:pPr>
      <w:r>
        <w:t>Donde Beneficio_Neto = Reducción de pérdidas en el periodo – Coste.</w:t>
      </w:r>
    </w:p>
    <w:p>
      <w:pPr>
        <w:pStyle w:val="Heading3"/>
        <w:keepNext/>
        <w:keepLines/>
      </w:pPr>
      <w:r>
        <w:t>5.2 Escenarios</w:t>
      </w:r>
    </w:p>
    <w:p>
      <w:r>
        <w:t>Se pueden crear rangos de celdas para:</w:t>
      </w:r>
    </w:p>
    <w:p>
      <w:pPr>
        <w:pStyle w:val="ListBullet"/>
        <w:keepLines w:val="1"/>
        <w:keepNext w:val="1"/>
        <w:widowControl w:val="1"/>
      </w:pPr>
      <w:r>
        <w:t xml:space="preserve">Escenario conservador, medio y optimista.  </w:t>
      </w:r>
    </w:p>
    <w:p>
      <w:pPr>
        <w:pStyle w:val="ListBullet"/>
        <w:keepLines w:val="1"/>
        <w:widowControl w:val="1"/>
      </w:pPr>
      <w:r>
        <w:t>Variar el incremento esperado de IGM o la reducción de pérdidas.</w:t>
      </w:r>
    </w:p>
    <w:p>
      <w:r>
        <w:t>Gráficos recomendados:</w:t>
      </w:r>
    </w:p>
    <w:p>
      <w:pPr>
        <w:pStyle w:val="ListBullet"/>
        <w:keepLines w:val="1"/>
        <w:keepNext w:val="1"/>
        <w:widowControl w:val="1"/>
      </w:pPr>
      <w:r>
        <w:t xml:space="preserve">Barras comparando coste vs. beneficio estimado por proyecto.  </w:t>
      </w:r>
    </w:p>
    <w:p>
      <w:pPr>
        <w:pStyle w:val="ListBullet"/>
        <w:keepLines w:val="1"/>
        <w:widowControl w:val="1"/>
      </w:pPr>
      <w:r>
        <w:t>Dispersión entre incremento de IGM y ROI.</w:t>
      </w:r>
    </w:p>
    <w:p>
      <w:pPr>
        <w:pStyle w:val="Heading2"/>
        <w:keepNext/>
        <w:keepLines/>
      </w:pPr>
      <w:r>
        <w:rPr>
          <w:color w:val="0066CC"/>
        </w:rPr>
        <w:t>6. Buenas prácticas para uso del Excel</w:t>
      </w:r>
    </w:p>
    <w:p>
      <w:pPr>
        <w:pStyle w:val="ListBullet"/>
        <w:keepLines w:val="1"/>
        <w:keepNext w:val="1"/>
        <w:widowControl w:val="1"/>
      </w:pPr>
      <w:r>
        <w:t xml:space="preserve">Proteger las hojas de mapeo y cálculo para evitar modificaciones accidentales.  </w:t>
      </w:r>
    </w:p>
    <w:p>
      <w:pPr>
        <w:pStyle w:val="ListBullet"/>
        <w:keepLines w:val="1"/>
        <w:keepNext w:val="1"/>
        <w:widowControl w:val="1"/>
      </w:pPr>
      <w:r>
        <w:t xml:space="preserve">Documentar en una hoja adicional (Documentación) los supuestos principales (por ejemplo, cómo se estima la reducción de pérdidas).  </w:t>
      </w:r>
    </w:p>
    <w:p>
      <w:pPr>
        <w:pStyle w:val="ListBullet"/>
        <w:keepLines w:val="1"/>
        <w:keepNext w:val="1"/>
        <w:widowControl w:val="1"/>
      </w:pPr>
      <w:r>
        <w:t xml:space="preserve">Versionar el fichero (v1, v2, …) para mantener trazabilidad de cambios.  </w:t>
      </w:r>
    </w:p>
    <w:p>
      <w:pPr>
        <w:pStyle w:val="ListBullet"/>
        <w:keepLines w:val="1"/>
        <w:widowControl w:val="1"/>
      </w:pPr>
      <w:r>
        <w:t>Usar rangos con nombre para fórmulas complejas.</w:t>
      </w:r>
    </w:p>
    <w:p>
      <w:r>
        <w:t>Esta plantilla no pretende agotar todas las posibilidades, pero sí proporcionar una estructura robusta para que la organización pueda:</w:t>
      </w:r>
    </w:p>
    <w:p>
      <w:pPr>
        <w:pStyle w:val="ListBullet"/>
        <w:keepLines w:val="1"/>
        <w:keepNext w:val="1"/>
        <w:widowControl w:val="1"/>
      </w:pPr>
      <w:r>
        <w:t xml:space="preserve">Consolidar los resultados de la encuesta.  </w:t>
      </w:r>
    </w:p>
    <w:p>
      <w:pPr>
        <w:pStyle w:val="ListBullet"/>
        <w:keepLines w:val="1"/>
        <w:keepNext w:val="1"/>
        <w:widowControl w:val="1"/>
      </w:pPr>
      <w:r>
        <w:t xml:space="preserve">Calcular y seguir el IGM en el tiempo.  </w:t>
      </w:r>
    </w:p>
    <w:p>
      <w:pPr>
        <w:pStyle w:val="ListBullet"/>
        <w:keepLines w:val="1"/>
        <w:widowControl w:val="1"/>
      </w:pPr>
      <w:r>
        <w:t>Vincular inversiones en seguridad con mejoras de madurez y reducción de riesgo.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