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IGM y ROI con GQM + PRAGMATIC</w:t>
      </w:r>
    </w:p>
    <w:p>
      <w:r>
        <w:t>Extensión de la plantilla de IGM y ROI para incorporar el mapeo GQM y la calificación PRAGMATIC de cada métrica.</w:t>
      </w:r>
    </w:p>
    <w:p>
      <w:pPr>
        <w:pStyle w:val="Heading2"/>
        <w:keepNext/>
        <w:keepLines/>
      </w:pPr>
      <w:r>
        <w:rPr>
          <w:color w:val="0066CC"/>
        </w:rPr>
        <w:t>1. Hojas propuestas</w:t>
      </w:r>
    </w:p>
    <w:p>
      <w:pPr>
        <w:pStyle w:val="ListNumber"/>
        <w:keepLines w:val="1"/>
        <w:keepNext w:val="1"/>
        <w:widowControl w:val="1"/>
      </w:pPr>
      <w:r>
        <w:t xml:space="preserve">CatalogoMetricas – Definición GQM y PRAGMATIC de cada métrica.  </w:t>
      </w:r>
    </w:p>
    <w:p>
      <w:pPr>
        <w:pStyle w:val="ListNumber"/>
        <w:keepLines w:val="1"/>
        <w:keepNext w:val="1"/>
        <w:widowControl w:val="1"/>
      </w:pPr>
      <w:r>
        <w:t xml:space="preserve">DatosPILAR – Exportaciones o extractos de resultados de PILAR (riesgos, madurez, etc.).  </w:t>
      </w:r>
    </w:p>
    <w:p>
      <w:pPr>
        <w:pStyle w:val="ListNumber"/>
        <w:keepLines w:val="1"/>
        <w:keepNext w:val="1"/>
        <w:widowControl w:val="1"/>
      </w:pPr>
      <w:r>
        <w:t xml:space="preserve">CalculoMetricas – Cálculo numérico de cada métrica.  </w:t>
      </w:r>
    </w:p>
    <w:p>
      <w:pPr>
        <w:pStyle w:val="ListNumber"/>
        <w:keepLines w:val="1"/>
        <w:keepNext w:val="1"/>
        <w:widowControl w:val="1"/>
      </w:pPr>
      <w:r>
        <w:t xml:space="preserve">IGM_Dimensiones – Cálculo del Índice Global de Madurez por dimensiones.  </w:t>
      </w:r>
    </w:p>
    <w:p>
      <w:pPr>
        <w:pStyle w:val="ListNumber"/>
        <w:keepLines w:val="1"/>
        <w:widowControl w:val="1"/>
      </w:pPr>
      <w:r>
        <w:t xml:space="preserve">ROI_Proyectos – Estimación del ROI de proyectos de seguridad.  </w:t>
      </w:r>
    </w:p>
    <w:p>
      <w:pPr>
        <w:pStyle w:val="Heading2"/>
        <w:keepNext/>
        <w:keepLines/>
      </w:pPr>
      <w:r>
        <w:rPr>
          <w:color w:val="0066CC"/>
        </w:rPr>
        <w:t>2. Hoja CatalogoMetricas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 Métrica (ej. M1.1, M2.2, M3.4)  </w:t>
      </w:r>
    </w:p>
    <w:p>
      <w:pPr>
        <w:pStyle w:val="ListBullet"/>
        <w:keepLines w:val="1"/>
        <w:keepNext w:val="1"/>
        <w:widowControl w:val="1"/>
      </w:pPr>
      <w:r>
        <w:t xml:space="preserve">B: Descripción breve  </w:t>
      </w:r>
    </w:p>
    <w:p>
      <w:pPr>
        <w:pStyle w:val="ListBullet"/>
        <w:keepLines w:val="1"/>
        <w:keepNext w:val="1"/>
        <w:widowControl w:val="1"/>
      </w:pPr>
      <w:r>
        <w:t xml:space="preserve">C: Objetivo GQM (G1, G2, G3)  </w:t>
      </w:r>
    </w:p>
    <w:p>
      <w:pPr>
        <w:pStyle w:val="ListBullet"/>
        <w:keepLines w:val="1"/>
        <w:keepNext w:val="1"/>
        <w:widowControl w:val="1"/>
      </w:pPr>
      <w:r>
        <w:t xml:space="preserve">D: Pregunta asociada (Q1.1, Q2.2, etc.)  </w:t>
      </w:r>
    </w:p>
    <w:p>
      <w:pPr>
        <w:pStyle w:val="ListBullet"/>
        <w:keepLines w:val="1"/>
        <w:keepNext w:val="1"/>
        <w:widowControl w:val="1"/>
      </w:pPr>
      <w:r>
        <w:t xml:space="preserve">E: Fórmula lógica (en términos de datos PILAR)  </w:t>
      </w:r>
    </w:p>
    <w:p>
      <w:pPr>
        <w:pStyle w:val="ListBullet"/>
        <w:keepLines w:val="1"/>
        <w:keepNext w:val="1"/>
        <w:widowControl w:val="1"/>
      </w:pPr>
      <w:r>
        <w:t xml:space="preserve">F: Unidad (0–10, %, €, etc.)  </w:t>
      </w:r>
    </w:p>
    <w:p>
      <w:pPr>
        <w:pStyle w:val="ListBullet"/>
        <w:keepLines w:val="1"/>
        <w:keepNext w:val="1"/>
        <w:widowControl w:val="1"/>
      </w:pPr>
      <w:r>
        <w:t xml:space="preserve">G–O: P, R, A, G, M, A (Preciso), T, I, C (puntuaciones 1–5)  </w:t>
      </w:r>
    </w:p>
    <w:p>
      <w:pPr>
        <w:pStyle w:val="ListBullet"/>
        <w:keepLines w:val="1"/>
        <w:keepNext w:val="1"/>
        <w:widowControl w:val="1"/>
      </w:pPr>
      <w:r>
        <w:t xml:space="preserve">P: PRAGMATIC total (suma o media)  </w:t>
      </w:r>
    </w:p>
    <w:p>
      <w:pPr>
        <w:pStyle w:val="ListBullet"/>
        <w:keepLines w:val="1"/>
        <w:keepNext w:val="1"/>
        <w:widowControl w:val="1"/>
      </w:pPr>
      <w:r>
        <w:t xml:space="preserve">Q: Incluir en panel (Sí/No, en función de umbral PRAGMATIC)  </w:t>
      </w:r>
    </w:p>
    <w:p>
      <w:pPr>
        <w:pStyle w:val="ListBullet"/>
        <w:keepLines w:val="1"/>
        <w:widowControl w:val="1"/>
      </w:pPr>
      <w:r>
        <w:t xml:space="preserve">R: Dimensión IGM principal asociada (1–5)  </w:t>
      </w:r>
    </w:p>
    <w:p>
      <w:r>
        <w:t>Ejemplo de fila para M2.2:</w:t>
      </w:r>
    </w:p>
    <w:p>
      <w:pPr>
        <w:pStyle w:val="ListBullet"/>
        <w:keepLines w:val="1"/>
        <w:keepNext w:val="1"/>
        <w:widowControl w:val="1"/>
      </w:pPr>
      <w:r>
        <w:t xml:space="preserve">A: M2.2  </w:t>
      </w:r>
    </w:p>
    <w:p>
      <w:pPr>
        <w:pStyle w:val="ListBullet"/>
        <w:keepLines w:val="1"/>
        <w:keepNext w:val="1"/>
        <w:widowControl w:val="1"/>
      </w:pPr>
      <w:r>
        <w:t xml:space="preserve">B: % salvaguardas en verde  </w:t>
      </w:r>
    </w:p>
    <w:p>
      <w:pPr>
        <w:pStyle w:val="ListBullet"/>
        <w:keepLines w:val="1"/>
        <w:keepNext w:val="1"/>
        <w:widowControl w:val="1"/>
      </w:pPr>
      <w:r>
        <w:t xml:space="preserve">C: G2  </w:t>
      </w:r>
    </w:p>
    <w:p>
      <w:pPr>
        <w:pStyle w:val="ListBullet"/>
        <w:keepLines w:val="1"/>
        <w:keepNext w:val="1"/>
        <w:widowControl w:val="1"/>
      </w:pPr>
      <w:r>
        <w:t xml:space="preserve">D: Q2.2  </w:t>
      </w:r>
    </w:p>
    <w:p>
      <w:pPr>
        <w:pStyle w:val="ListBullet"/>
        <w:keepLines w:val="1"/>
        <w:keepNext w:val="1"/>
        <w:widowControl w:val="1"/>
      </w:pPr>
      <w:r>
        <w:t xml:space="preserve">E: Nº medidas con semáforo verde / Nº total medidas aplicables * 100  </w:t>
      </w:r>
    </w:p>
    <w:p>
      <w:pPr>
        <w:pStyle w:val="ListBullet"/>
        <w:keepLines w:val="1"/>
        <w:keepNext w:val="1"/>
        <w:widowControl w:val="1"/>
      </w:pPr>
      <w:r>
        <w:t xml:space="preserve">F: %  </w:t>
      </w:r>
    </w:p>
    <w:p>
      <w:pPr>
        <w:pStyle w:val="ListBullet"/>
        <w:keepLines w:val="1"/>
        <w:keepNext w:val="1"/>
        <w:widowControl w:val="1"/>
      </w:pPr>
      <w:r>
        <w:t xml:space="preserve">G–O: puntuaciones PRAGMATIC  </w:t>
      </w:r>
    </w:p>
    <w:p>
      <w:pPr>
        <w:pStyle w:val="ListBullet"/>
        <w:keepLines w:val="1"/>
        <w:keepNext w:val="1"/>
        <w:widowControl w:val="1"/>
      </w:pPr>
      <w:r>
        <w:t xml:space="preserve">P: cálculo total  </w:t>
      </w:r>
    </w:p>
    <w:p>
      <w:pPr>
        <w:pStyle w:val="ListBullet"/>
        <w:keepLines w:val="1"/>
        <w:keepNext w:val="1"/>
        <w:widowControl w:val="1"/>
      </w:pPr>
      <w:r>
        <w:t xml:space="preserve">Q: fórmula condicional (P ≥ umbral)  </w:t>
      </w:r>
    </w:p>
    <w:p>
      <w:pPr>
        <w:pStyle w:val="ListBullet"/>
        <w:keepLines w:val="1"/>
        <w:widowControl w:val="1"/>
      </w:pPr>
      <w:r>
        <w:t>R: 3 (madurez de salvaguardas y controles)</w:t>
      </w:r>
    </w:p>
    <w:p>
      <w:pPr>
        <w:pStyle w:val="Heading2"/>
        <w:keepNext/>
        <w:keepLines/>
      </w:pPr>
      <w:r>
        <w:rPr>
          <w:color w:val="0066CC"/>
        </w:rPr>
        <w:t>3. Hoja DatosPILAR</w:t>
      </w:r>
    </w:p>
    <w:p>
      <w:r>
        <w:t>Esta hoja debe contener:</w:t>
      </w:r>
    </w:p>
    <w:p>
      <w:pPr>
        <w:pStyle w:val="ListBullet"/>
        <w:keepLines w:val="1"/>
        <w:keepNext w:val="1"/>
        <w:widowControl w:val="1"/>
      </w:pPr>
      <w:r>
        <w:t xml:space="preserve">Tablas importadas de PILAR:  </w:t>
      </w:r>
    </w:p>
    <w:p>
      <w:pPr>
        <w:pStyle w:val="ListBullet"/>
        <w:keepLines w:val="1"/>
        <w:keepNext w:val="1"/>
        <w:widowControl w:val="1"/>
      </w:pPr>
      <w:r>
        <w:t xml:space="preserve">Riesgo repercutido/acumulado por activo/dominio/amenaza.  </w:t>
      </w:r>
    </w:p>
    <w:p>
      <w:pPr>
        <w:pStyle w:val="ListBullet"/>
        <w:keepLines w:val="1"/>
        <w:keepNext w:val="1"/>
        <w:widowControl w:val="1"/>
      </w:pPr>
      <w:r>
        <w:t xml:space="preserve">Niveles de madurez L0–L5 por salvaguarda y dominio.  </w:t>
      </w:r>
    </w:p>
    <w:p>
      <w:pPr>
        <w:pStyle w:val="ListBullet"/>
        <w:keepLines w:val="1"/>
        <w:keepNext w:val="1"/>
        <w:widowControl w:val="1"/>
      </w:pPr>
      <w:r>
        <w:t xml:space="preserve">Recomendación 0–10 por salvaguarda y dominio.  </w:t>
      </w:r>
    </w:p>
    <w:p>
      <w:pPr>
        <w:pStyle w:val="ListBullet"/>
        <w:keepLines w:val="1"/>
        <w:widowControl w:val="1"/>
      </w:pPr>
      <w:r>
        <w:t xml:space="preserve">Estado de semáforo por medida.  </w:t>
      </w:r>
    </w:p>
    <w:p>
      <w:r>
        <w:t>Columnas típicas:</w:t>
      </w:r>
    </w:p>
    <w:p>
      <w:pPr>
        <w:pStyle w:val="ListBullet"/>
        <w:keepLines w:val="1"/>
        <w:keepNext w:val="1"/>
        <w:widowControl w:val="1"/>
      </w:pPr>
      <w:r>
        <w:t xml:space="preserve">A: ID activo / dominio / medida  </w:t>
      </w:r>
    </w:p>
    <w:p>
      <w:pPr>
        <w:pStyle w:val="ListBullet"/>
        <w:keepLines w:val="1"/>
        <w:keepNext w:val="1"/>
        <w:widowControl w:val="1"/>
      </w:pPr>
      <w:r>
        <w:t xml:space="preserve">B: Tipo (activo esencial, soporte, salvaguarda, control ENS, etc.)  </w:t>
      </w:r>
    </w:p>
    <w:p>
      <w:pPr>
        <w:pStyle w:val="ListBullet"/>
        <w:keepLines w:val="1"/>
        <w:keepNext w:val="1"/>
        <w:widowControl w:val="1"/>
      </w:pPr>
      <w:r>
        <w:t xml:space="preserve">C: Dimensión de seguridad (C, I, D, etc., si aplica)  </w:t>
      </w:r>
    </w:p>
    <w:p>
      <w:pPr>
        <w:pStyle w:val="ListBullet"/>
        <w:keepLines w:val="1"/>
        <w:keepNext w:val="1"/>
        <w:widowControl w:val="1"/>
      </w:pPr>
      <w:r>
        <w:t xml:space="preserve">D: Riesgo repercutido/acumulado (0–10)  </w:t>
      </w:r>
    </w:p>
    <w:p>
      <w:pPr>
        <w:pStyle w:val="ListBullet"/>
        <w:keepLines w:val="1"/>
        <w:keepNext w:val="1"/>
        <w:widowControl w:val="1"/>
      </w:pPr>
      <w:r>
        <w:t xml:space="preserve">E: Madurez L0–L5  </w:t>
      </w:r>
    </w:p>
    <w:p>
      <w:pPr>
        <w:pStyle w:val="ListBullet"/>
        <w:keepLines w:val="1"/>
        <w:keepNext w:val="1"/>
        <w:widowControl w:val="1"/>
      </w:pPr>
      <w:r>
        <w:t xml:space="preserve">F: Recomendación (0–10)  </w:t>
      </w:r>
    </w:p>
    <w:p>
      <w:pPr>
        <w:pStyle w:val="ListBullet"/>
        <w:keepLines w:val="1"/>
        <w:keepNext w:val="1"/>
        <w:widowControl w:val="1"/>
      </w:pPr>
      <w:r>
        <w:t xml:space="preserve">G: Estado semáforo (verde/amarillo/rojo/gris)  </w:t>
      </w:r>
    </w:p>
    <w:p>
      <w:pPr>
        <w:pStyle w:val="ListBullet"/>
        <w:keepLines w:val="1"/>
        <w:widowControl w:val="1"/>
      </w:pPr>
      <w:r>
        <w:t>H: Etiquetas adicionales (dominio, sistema, obligatoriedad ENS, etc.)</w:t>
      </w:r>
    </w:p>
    <w:p>
      <w:pPr>
        <w:pStyle w:val="Heading2"/>
        <w:keepNext/>
        <w:keepLines/>
      </w:pPr>
      <w:r>
        <w:rPr>
          <w:color w:val="0066CC"/>
        </w:rPr>
        <w:t>4. Hoja CalculoMetricas</w:t>
      </w:r>
    </w:p>
    <w:p>
      <w:r>
        <w:t>Para cada métrica del catálogo:</w:t>
      </w:r>
    </w:p>
    <w:p>
      <w:pPr>
        <w:pStyle w:val="ListBullet"/>
        <w:keepLines w:val="1"/>
        <w:keepNext w:val="1"/>
        <w:widowControl w:val="1"/>
      </w:pPr>
      <w:r>
        <w:t xml:space="preserve">A: ID Métrica  </w:t>
      </w:r>
    </w:p>
    <w:p>
      <w:pPr>
        <w:pStyle w:val="ListBullet"/>
        <w:keepLines w:val="1"/>
        <w:keepNext w:val="1"/>
        <w:widowControl w:val="1"/>
      </w:pPr>
      <w:r>
        <w:t xml:space="preserve">B: Fórmula Excel implementada (referenciando DatosPILAR)  </w:t>
      </w:r>
    </w:p>
    <w:p>
      <w:pPr>
        <w:pStyle w:val="ListBullet"/>
        <w:keepLines w:val="1"/>
        <w:keepNext w:val="1"/>
        <w:widowControl w:val="1"/>
      </w:pPr>
      <w:r>
        <w:t xml:space="preserve">C: Valor calculado  </w:t>
      </w:r>
    </w:p>
    <w:p>
      <w:pPr>
        <w:pStyle w:val="ListBullet"/>
        <w:keepLines w:val="1"/>
        <w:widowControl w:val="1"/>
      </w:pPr>
      <w:r>
        <w:t>D: Observaciones (por ejemplo, interpretación o limitaciones)</w:t>
      </w:r>
    </w:p>
    <w:p>
      <w:r>
        <w:t>Ejemplo simplificado:</w:t>
      </w:r>
    </w:p>
    <w:p>
      <w:pPr>
        <w:pStyle w:val="ListBullet"/>
        <w:keepLines w:val="1"/>
        <w:keepNext w:val="1"/>
        <w:widowControl w:val="1"/>
      </w:pPr>
      <w:r>
        <w:t xml:space="preserve">Para M1.2 (% activos esenciales con riesgo alto):  </w:t>
      </w:r>
    </w:p>
    <w:p>
      <w:pPr>
        <w:pStyle w:val="ListBullet"/>
        <w:keepLines w:val="1"/>
        <w:widowControl w:val="1"/>
      </w:pPr>
      <w:r>
        <w:t>Contar activos esenciales con Riesgo repercutido ≥ 7 y dividir por el número total de activos esenciales.</w:t>
      </w:r>
    </w:p>
    <w:p>
      <w:pPr>
        <w:pStyle w:val="Heading2"/>
        <w:keepNext/>
        <w:keepLines/>
      </w:pPr>
      <w:r>
        <w:rPr>
          <w:color w:val="0066CC"/>
        </w:rPr>
        <w:t>5. Hoja IGM_Dimensiones</w:t>
      </w:r>
    </w:p>
    <w:p>
      <w:r>
        <w:t>Se reutiliza la lógica ya descrita para el IGM, conectando ahora:</w:t>
      </w:r>
    </w:p>
    <w:p>
      <w:pPr>
        <w:pStyle w:val="ListBullet"/>
        <w:keepLines w:val="1"/>
        <w:keepNext w:val="1"/>
        <w:widowControl w:val="1"/>
      </w:pPr>
      <w:r>
        <w:t xml:space="preserve">Cada pregunta/indicador de encuesta (si se mantiene) y  </w:t>
      </w:r>
    </w:p>
    <w:p>
      <w:pPr>
        <w:pStyle w:val="ListBullet"/>
        <w:keepLines w:val="1"/>
        <w:widowControl w:val="1"/>
      </w:pPr>
      <w:r>
        <w:t>Cada métrica PILAR de la hoja CalculoMetricas.</w:t>
      </w:r>
    </w:p>
    <w:p>
      <w:r>
        <w:t>Las dimensiones pueden ajustarse para incluir explícitamente:</w:t>
      </w:r>
    </w:p>
    <w:p>
      <w:pPr>
        <w:pStyle w:val="ListNumber"/>
        <w:keepLines w:val="1"/>
        <w:keepNext w:val="1"/>
        <w:widowControl w:val="1"/>
      </w:pPr>
      <w:r>
        <w:t xml:space="preserve">Riesgo residual (M1.x).  </w:t>
      </w:r>
    </w:p>
    <w:p>
      <w:pPr>
        <w:pStyle w:val="ListNumber"/>
        <w:keepLines w:val="1"/>
        <w:keepNext w:val="1"/>
        <w:widowControl w:val="1"/>
      </w:pPr>
      <w:r>
        <w:t xml:space="preserve">Madurez de salvaguardas y controles (M2.x).  </w:t>
      </w:r>
    </w:p>
    <w:p>
      <w:pPr>
        <w:pStyle w:val="ListNumber"/>
        <w:keepLines w:val="1"/>
        <w:keepNext w:val="1"/>
        <w:widowControl w:val="1"/>
      </w:pPr>
      <w:r>
        <w:t xml:space="preserve">Cobertura ENS y priorización (M3.x).  </w:t>
      </w:r>
    </w:p>
    <w:p>
      <w:pPr>
        <w:pStyle w:val="ListNumber"/>
        <w:keepLines w:val="1"/>
        <w:keepNext w:val="1"/>
        <w:widowControl w:val="1"/>
      </w:pPr>
      <w:r>
        <w:t xml:space="preserve">Ciclo de vida y continuidad (métricas adicionales).  </w:t>
      </w:r>
    </w:p>
    <w:p>
      <w:pPr>
        <w:pStyle w:val="ListNumber"/>
        <w:keepLines w:val="1"/>
        <w:widowControl w:val="1"/>
      </w:pPr>
      <w:r>
        <w:t>Cultura y gobierno (métricas de encuesta).</w:t>
      </w:r>
    </w:p>
    <w:p>
      <w:r>
        <w:t>El cálculo del IGM sigue siendo una media ponderada de las dimensiones, pero puede incorporar tanto percepciones (encuesta) como datos técnicos (PILAR).</w:t>
      </w:r>
    </w:p>
    <w:p>
      <w:pPr>
        <w:pStyle w:val="Heading2"/>
        <w:keepNext/>
        <w:keepLines/>
      </w:pPr>
      <w:r>
        <w:rPr>
          <w:color w:val="0066CC"/>
        </w:rPr>
        <w:t>6. Hoja ROI_Proyectos</w:t>
      </w:r>
    </w:p>
    <w:p>
      <w:r>
        <w:t>Se alinean los proyectos con métricas GQM:</w:t>
      </w:r>
    </w:p>
    <w:p>
      <w:pPr>
        <w:pStyle w:val="ListBullet"/>
        <w:keepLines w:val="1"/>
        <w:keepNext w:val="1"/>
        <w:widowControl w:val="1"/>
      </w:pPr>
      <w:r>
        <w:t xml:space="preserve">A: Proyecto/medida.  </w:t>
      </w:r>
    </w:p>
    <w:p>
      <w:pPr>
        <w:pStyle w:val="ListBullet"/>
        <w:keepLines w:val="1"/>
        <w:keepNext w:val="1"/>
        <w:widowControl w:val="1"/>
      </w:pPr>
      <w:r>
        <w:t xml:space="preserve">B: Coste total.  </w:t>
      </w:r>
    </w:p>
    <w:p>
      <w:pPr>
        <w:pStyle w:val="ListBullet"/>
        <w:keepLines w:val="1"/>
        <w:keepNext w:val="1"/>
        <w:widowControl w:val="1"/>
      </w:pPr>
      <w:r>
        <w:t xml:space="preserve">C: Métricas afectadas (ej. M1.2, M2.2, M3.3).  </w:t>
      </w:r>
    </w:p>
    <w:p>
      <w:pPr>
        <w:pStyle w:val="ListBullet"/>
        <w:keepLines w:val="1"/>
        <w:keepNext w:val="1"/>
        <w:widowControl w:val="1"/>
      </w:pPr>
      <w:r>
        <w:t xml:space="preserve">D: Δ esperado en cada métrica (por ejemplo, reducción del % de activos en riesgo alto).  </w:t>
      </w:r>
    </w:p>
    <w:p>
      <w:pPr>
        <w:pStyle w:val="ListBullet"/>
        <w:keepLines w:val="1"/>
        <w:keepNext w:val="1"/>
        <w:widowControl w:val="1"/>
      </w:pPr>
      <w:r>
        <w:t xml:space="preserve">E: Traducción del Δ riesgo a reducción de pérdidas esperada (en €).  </w:t>
      </w:r>
    </w:p>
    <w:p>
      <w:pPr>
        <w:pStyle w:val="ListBullet"/>
        <w:keepLines w:val="1"/>
        <w:widowControl w:val="1"/>
      </w:pPr>
      <w:r>
        <w:t>F: ROI % y Payback, como en la plantilla general de ROI.</w:t>
      </w:r>
    </w:p>
    <w:p>
      <w:r>
        <w:t>Esta hoja puede apoyarse en supuestos parametrizables (por ejemplo, valor monetario de un punto de riesgo reducido en activos de cierto tipo).</w:t>
      </w:r>
    </w:p>
    <w:p>
      <w:pPr>
        <w:pStyle w:val="Heading2"/>
        <w:keepNext/>
        <w:keepLines/>
      </w:pPr>
      <w:r>
        <w:rPr>
          <w:color w:val="0066CC"/>
        </w:rPr>
        <w:t>7. Buenas prácticas</w:t>
      </w:r>
    </w:p>
    <w:p>
      <w:pPr>
        <w:pStyle w:val="ListBullet"/>
        <w:keepLines w:val="1"/>
        <w:keepNext w:val="1"/>
        <w:widowControl w:val="1"/>
      </w:pPr>
      <w:r>
        <w:t xml:space="preserve">Mantener consistente el catálogo de métricas GQM con el diseño de paneles y reportes.  </w:t>
      </w:r>
    </w:p>
    <w:p>
      <w:pPr>
        <w:pStyle w:val="ListBullet"/>
        <w:keepLines w:val="1"/>
        <w:keepNext w:val="1"/>
        <w:widowControl w:val="1"/>
      </w:pPr>
      <w:r>
        <w:t xml:space="preserve">Documentar los supuestos de conversión riesgo → pérdida económica.  </w:t>
      </w:r>
    </w:p>
    <w:p>
      <w:pPr>
        <w:pStyle w:val="ListBullet"/>
        <w:keepLines w:val="1"/>
        <w:widowControl w:val="1"/>
      </w:pPr>
      <w:r>
        <w:t>Utilizar la puntuación PRAGMATIC para decidir qué métricas se dejan en segundo plano cuando la complejidad crece.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