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– Métricas GQM + PRAGMATIC con PILAR–ENS</w:t>
      </w:r>
    </w:p>
    <w:p>
      <w:r>
        <w:t>Versión ligeramente civilizada para comités que no quieren leer manuales de PILAR pero sí tomar decisiones razonables.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“Indicadores ENS basados en PILAR: GQM + PRAGMATIC”  </w:t>
      </w:r>
    </w:p>
    <w:p>
      <w:pPr>
        <w:pStyle w:val="ListBullet"/>
        <w:keepLines w:val="1"/>
        <w:keepNext w:val="1"/>
        <w:widowControl w:val="1"/>
      </w:pPr>
      <w:r>
        <w:t xml:space="preserve">Subtítulo: Nombre de la organización, fecha.  </w:t>
      </w:r>
    </w:p>
    <w:p>
      <w:pPr>
        <w:pStyle w:val="ListBullet"/>
        <w:keepLines w:val="1"/>
        <w:widowControl w:val="1"/>
      </w:pPr>
      <w:r>
        <w:t>Pie: Área de Seguridad / ENS.</w:t>
      </w:r>
    </w:p>
    <w:p>
      <w:pPr>
        <w:pStyle w:val="Heading2"/>
        <w:keepNext/>
        <w:keepLines/>
      </w:pPr>
      <w:r>
        <w:rPr>
          <w:color w:val="0066CC"/>
        </w:rPr>
        <w:t>Diapositiva 2 – Objetivos y enfoque</w:t>
      </w:r>
    </w:p>
    <w:p>
      <w:pPr>
        <w:pStyle w:val="ListBullet"/>
        <w:keepLines w:val="1"/>
        <w:keepNext w:val="1"/>
        <w:widowControl w:val="1"/>
      </w:pPr>
      <w:r>
        <w:t xml:space="preserve">Breve resumen de los objetivos G1, G2 y G3.  </w:t>
      </w:r>
    </w:p>
    <w:p>
      <w:pPr>
        <w:pStyle w:val="ListBullet"/>
        <w:keepLines w:val="1"/>
        <w:keepNext w:val="1"/>
        <w:widowControl w:val="1"/>
      </w:pPr>
      <w:r>
        <w:t xml:space="preserve">Mención de GQM como hilo conductor entre objetivos, preguntas y métricas.  </w:t>
      </w:r>
    </w:p>
    <w:p>
      <w:pPr>
        <w:pStyle w:val="ListBullet"/>
        <w:keepLines w:val="1"/>
        <w:widowControl w:val="1"/>
      </w:pPr>
      <w:r>
        <w:t>Referencia a PRAGMATIC como filtro de calidad de las métricas.</w:t>
      </w:r>
    </w:p>
    <w:p>
      <w:pPr>
        <w:pStyle w:val="Heading2"/>
        <w:keepNext/>
        <w:keepLines/>
      </w:pPr>
      <w:r>
        <w:rPr>
          <w:color w:val="0066CC"/>
        </w:rPr>
        <w:t>Diapositiva 3 – Mapa GQM de alto nivel</w:t>
      </w:r>
    </w:p>
    <w:p>
      <w:pPr>
        <w:pStyle w:val="ListBullet"/>
        <w:keepLines w:val="1"/>
        <w:keepNext w:val="1"/>
        <w:widowControl w:val="1"/>
      </w:pPr>
      <w:r>
        <w:t xml:space="preserve">Diagrama simple que muestre:  </w:t>
      </w:r>
    </w:p>
    <w:p>
      <w:pPr>
        <w:pStyle w:val="ListBullet"/>
        <w:keepLines w:val="1"/>
        <w:keepNext w:val="1"/>
        <w:widowControl w:val="1"/>
      </w:pPr>
      <w:r>
        <w:t xml:space="preserve">Objetivos (G1–G3) en la parte superior.  </w:t>
      </w:r>
    </w:p>
    <w:p>
      <w:pPr>
        <w:pStyle w:val="ListBullet"/>
        <w:keepLines w:val="1"/>
        <w:keepNext w:val="1"/>
        <w:widowControl w:val="1"/>
      </w:pPr>
      <w:r>
        <w:t xml:space="preserve">Preguntas clave (Q1.x, Q2.x, Q3.x) en el centro.  </w:t>
      </w:r>
    </w:p>
    <w:p>
      <w:pPr>
        <w:pStyle w:val="ListBullet"/>
        <w:keepLines w:val="1"/>
        <w:widowControl w:val="1"/>
      </w:pPr>
      <w:r>
        <w:t>Métricas principales (M1.x, M2.x, M3.x) en la parte inferior.</w:t>
      </w:r>
    </w:p>
    <w:p>
      <w:pPr>
        <w:pStyle w:val="Heading2"/>
        <w:keepNext/>
        <w:keepLines/>
      </w:pPr>
      <w:r>
        <w:rPr>
          <w:color w:val="0066CC"/>
        </w:rPr>
        <w:t>Diapositiva 4 – Métricas seleccionadas y PRAGMATIC</w:t>
      </w:r>
    </w:p>
    <w:p>
      <w:pPr>
        <w:pStyle w:val="ListBullet"/>
        <w:keepLines w:val="1"/>
        <w:keepNext w:val="1"/>
        <w:widowControl w:val="1"/>
      </w:pPr>
      <w:r>
        <w:t xml:space="preserve">Tabla resumida con 6–8 métricas clave y su puntuación PRAGMATIC total.  </w:t>
      </w:r>
    </w:p>
    <w:p>
      <w:pPr>
        <w:pStyle w:val="ListBullet"/>
        <w:keepLines w:val="1"/>
        <w:widowControl w:val="1"/>
      </w:pPr>
      <w:r>
        <w:t>Comentario sobre por qué se han elegido esas métricas y no otras.</w:t>
      </w:r>
    </w:p>
    <w:p>
      <w:pPr>
        <w:pStyle w:val="Heading2"/>
        <w:keepNext/>
        <w:keepLines/>
      </w:pPr>
      <w:r>
        <w:rPr>
          <w:color w:val="0066CC"/>
        </w:rPr>
        <w:t>Diapositiva 5 – Estado del riesgo residual (G1)</w:t>
      </w:r>
    </w:p>
    <w:p>
      <w:pPr>
        <w:pStyle w:val="ListBullet"/>
        <w:keepLines w:val="1"/>
        <w:keepNext w:val="1"/>
        <w:widowControl w:val="1"/>
      </w:pPr>
      <w:r>
        <w:t xml:space="preserve">Gráfico:  </w:t>
      </w:r>
    </w:p>
    <w:p>
      <w:pPr>
        <w:pStyle w:val="ListBullet"/>
        <w:keepLines w:val="1"/>
        <w:keepNext w:val="1"/>
        <w:widowControl w:val="1"/>
      </w:pPr>
      <w:r>
        <w:t xml:space="preserve">Riesgo medio repercutido por dimensión (M1.1).  </w:t>
      </w:r>
    </w:p>
    <w:p>
      <w:pPr>
        <w:pStyle w:val="ListBullet"/>
        <w:keepLines w:val="1"/>
        <w:keepNext w:val="1"/>
        <w:widowControl w:val="1"/>
      </w:pPr>
      <w:r>
        <w:t xml:space="preserve">% de activos esenciales con riesgo alto (M1.2).  </w:t>
      </w:r>
    </w:p>
    <w:p>
      <w:pPr>
        <w:pStyle w:val="ListBullet"/>
        <w:keepLines w:val="1"/>
        <w:widowControl w:val="1"/>
      </w:pPr>
      <w:r>
        <w:t>Mensaje: dónde se concentra el riesgo y qué implica en términos de servicio.</w:t>
      </w:r>
    </w:p>
    <w:p>
      <w:pPr>
        <w:pStyle w:val="Heading2"/>
        <w:keepNext/>
        <w:keepLines/>
      </w:pPr>
      <w:r>
        <w:rPr>
          <w:color w:val="0066CC"/>
        </w:rPr>
        <w:t>Diapositiva 6 – Madurez de salvaguardas y controles (G2)</w:t>
      </w:r>
    </w:p>
    <w:p>
      <w:pPr>
        <w:pStyle w:val="ListBullet"/>
        <w:keepLines w:val="1"/>
        <w:keepNext w:val="1"/>
        <w:widowControl w:val="1"/>
      </w:pPr>
      <w:r>
        <w:t xml:space="preserve">Gráfico: distribución L0–L5 de salvaguardas y controles ENS (M2.1, M2.4).  </w:t>
      </w:r>
    </w:p>
    <w:p>
      <w:pPr>
        <w:pStyle w:val="ListBullet"/>
        <w:keepLines w:val="1"/>
        <w:keepNext w:val="1"/>
        <w:widowControl w:val="1"/>
      </w:pPr>
      <w:r>
        <w:t xml:space="preserve">Gráfico adicional: % de salvaguardas críticas en verde/amarillo/rojo (M2.2, M2.3).  </w:t>
      </w:r>
    </w:p>
    <w:p>
      <w:pPr>
        <w:pStyle w:val="ListBullet"/>
        <w:keepLines w:val="1"/>
        <w:widowControl w:val="1"/>
      </w:pPr>
      <w:r>
        <w:t>Comentarios: dominios ejemplares y dominios preocupantes.</w:t>
      </w:r>
    </w:p>
    <w:p>
      <w:pPr>
        <w:pStyle w:val="Heading2"/>
        <w:keepNext/>
        <w:keepLines/>
      </w:pPr>
      <w:r>
        <w:rPr>
          <w:color w:val="0066CC"/>
        </w:rPr>
        <w:t>Diapositiva 7 – Prioridades de actuación (G3)</w:t>
      </w:r>
    </w:p>
    <w:p>
      <w:pPr>
        <w:pStyle w:val="ListBullet"/>
        <w:keepLines w:val="1"/>
        <w:keepNext w:val="1"/>
        <w:widowControl w:val="1"/>
      </w:pPr>
      <w:r>
        <w:t xml:space="preserve">Lista Top-N de salvaguardas de alto valor y baja madurez (M3.1).  </w:t>
      </w:r>
    </w:p>
    <w:p>
      <w:pPr>
        <w:pStyle w:val="ListBullet"/>
        <w:keepLines w:val="1"/>
        <w:keepNext w:val="1"/>
        <w:widowControl w:val="1"/>
      </w:pPr>
      <w:r>
        <w:t xml:space="preserve">Visualización de medidas que generan mayor reducción de riesgo por incremento de madurez (M3.2).  </w:t>
      </w:r>
    </w:p>
    <w:p>
      <w:pPr>
        <w:pStyle w:val="ListBullet"/>
        <w:keepLines w:val="1"/>
        <w:widowControl w:val="1"/>
      </w:pPr>
      <w:r>
        <w:t>Relación con proyectos ya planificados o en curso.</w:t>
      </w:r>
    </w:p>
    <w:p>
      <w:pPr>
        <w:pStyle w:val="Heading2"/>
        <w:keepNext/>
        <w:keepLines/>
      </w:pPr>
      <w:r>
        <w:rPr>
          <w:color w:val="0066CC"/>
        </w:rPr>
        <w:t>Diapositiva 8 – Perspectiva ENS y cumplimiento</w:t>
      </w:r>
    </w:p>
    <w:p>
      <w:pPr>
        <w:pStyle w:val="ListBullet"/>
        <w:keepLines w:val="1"/>
        <w:keepNext w:val="1"/>
        <w:widowControl w:val="1"/>
      </w:pPr>
      <w:r>
        <w:t xml:space="preserve">Indicador de cobertura ENS por madurez (M3.3).  </w:t>
      </w:r>
    </w:p>
    <w:p>
      <w:pPr>
        <w:pStyle w:val="ListBullet"/>
        <w:keepLines w:val="1"/>
        <w:keepNext w:val="1"/>
        <w:widowControl w:val="1"/>
      </w:pPr>
      <w:r>
        <w:t xml:space="preserve">Situación de controles obligatorios en L0–L2 (alertas).  </w:t>
      </w:r>
    </w:p>
    <w:p>
      <w:pPr>
        <w:pStyle w:val="ListBullet"/>
        <w:keepLines w:val="1"/>
        <w:widowControl w:val="1"/>
      </w:pPr>
      <w:r>
        <w:t>Comentario sobre riesgos de incumplimiento regulatorio.</w:t>
      </w:r>
    </w:p>
    <w:p>
      <w:pPr>
        <w:pStyle w:val="Heading2"/>
        <w:keepNext/>
        <w:keepLines/>
      </w:pPr>
      <w:r>
        <w:rPr>
          <w:color w:val="0066CC"/>
        </w:rPr>
        <w:t>Diapositiva 9 – Inversiones y ROI</w:t>
      </w:r>
    </w:p>
    <w:p>
      <w:pPr>
        <w:pStyle w:val="ListBullet"/>
        <w:keepLines w:val="1"/>
        <w:keepNext w:val="1"/>
        <w:widowControl w:val="1"/>
      </w:pPr>
      <w:r>
        <w:t xml:space="preserve">Gráfico coste / riesgo mitigado por proyecto (M3.4).  </w:t>
      </w:r>
    </w:p>
    <w:p>
      <w:pPr>
        <w:pStyle w:val="ListBullet"/>
        <w:keepLines w:val="1"/>
        <w:keepNext w:val="1"/>
        <w:widowControl w:val="1"/>
      </w:pPr>
      <w:r>
        <w:t xml:space="preserve">Puntos clave:  </w:t>
      </w:r>
    </w:p>
    <w:p>
      <w:pPr>
        <w:pStyle w:val="ListBullet"/>
        <w:keepLines w:val="1"/>
        <w:keepNext w:val="1"/>
        <w:widowControl w:val="1"/>
      </w:pPr>
      <w:r>
        <w:t xml:space="preserve">Proyectos “imprescindibles” (alto impacto, buen ROI).  </w:t>
      </w:r>
    </w:p>
    <w:p>
      <w:pPr>
        <w:pStyle w:val="ListBullet"/>
        <w:keepLines w:val="1"/>
        <w:widowControl w:val="1"/>
      </w:pPr>
      <w:r>
        <w:t>Proyectos “higiénicos” (necesarios para cumplimiento, aunque el ROI directo sea difícil de justificar).</w:t>
      </w:r>
    </w:p>
    <w:p>
      <w:pPr>
        <w:pStyle w:val="Heading2"/>
        <w:keepNext/>
        <w:keepLines/>
      </w:pPr>
      <w:r>
        <w:rPr>
          <w:color w:val="0066CC"/>
        </w:rPr>
        <w:t>Diapositiva 10 – Decisiones recomendadas</w:t>
      </w:r>
    </w:p>
    <w:p>
      <w:pPr>
        <w:pStyle w:val="ListBullet"/>
        <w:keepLines w:val="1"/>
        <w:keepNext w:val="1"/>
        <w:widowControl w:val="1"/>
      </w:pPr>
      <w:r>
        <w:t xml:space="preserve">Resumen de decisiones que la dirección debería considerar:  </w:t>
      </w:r>
    </w:p>
    <w:p>
      <w:pPr>
        <w:pStyle w:val="ListBullet"/>
        <w:keepLines w:val="1"/>
        <w:keepNext w:val="1"/>
        <w:widowControl w:val="1"/>
      </w:pPr>
      <w:r>
        <w:t xml:space="preserve">Aprobación de ciertos proyectos.  </w:t>
      </w:r>
    </w:p>
    <w:p>
      <w:pPr>
        <w:pStyle w:val="ListBullet"/>
        <w:keepLines w:val="1"/>
        <w:keepNext w:val="1"/>
        <w:widowControl w:val="1"/>
      </w:pPr>
      <w:r>
        <w:t xml:space="preserve">Revisión de plazos.  </w:t>
      </w:r>
    </w:p>
    <w:p>
      <w:pPr>
        <w:pStyle w:val="ListBullet"/>
        <w:keepLines w:val="1"/>
        <w:widowControl w:val="1"/>
      </w:pPr>
      <w:r>
        <w:t>Refuerzo de recursos en áreas específicas.</w:t>
      </w:r>
    </w:p>
    <w:p>
      <w:pPr>
        <w:pStyle w:val="Heading2"/>
        <w:keepNext/>
        <w:keepLines/>
      </w:pPr>
      <w:r>
        <w:rPr>
          <w:color w:val="0066CC"/>
        </w:rPr>
        <w:t>Diapositiva 11 – Limitaciones y riesgos de las métricas</w:t>
      </w:r>
    </w:p>
    <w:p>
      <w:pPr>
        <w:pStyle w:val="ListBullet"/>
        <w:keepLines w:val="1"/>
        <w:keepNext w:val="1"/>
        <w:widowControl w:val="1"/>
      </w:pPr>
      <w:r>
        <w:t xml:space="preserve">Señalar que algunas métricas se basan en estimaciones (Δ riesgo, ROI).  </w:t>
      </w:r>
    </w:p>
    <w:p>
      <w:pPr>
        <w:pStyle w:val="ListBullet"/>
        <w:keepLines w:val="1"/>
        <w:keepNext w:val="1"/>
        <w:widowControl w:val="1"/>
      </w:pPr>
      <w:r>
        <w:t xml:space="preserve">Destacar que la calidad de las valoraciones de madurez influye en las conclusiones.  </w:t>
      </w:r>
    </w:p>
    <w:p>
      <w:pPr>
        <w:pStyle w:val="ListBullet"/>
        <w:keepLines w:val="1"/>
        <w:widowControl w:val="1"/>
      </w:pPr>
      <w:r>
        <w:t>Recordar que el objetivo es mejorar la gestión informada del riesgo, no “ganar” métricas.</w:t>
      </w:r>
    </w:p>
    <w:p>
      <w:pPr>
        <w:pStyle w:val="Heading2"/>
        <w:keepNext/>
        <w:keepLines/>
      </w:pPr>
      <w:r>
        <w:rPr>
          <w:color w:val="0066CC"/>
        </w:rPr>
        <w:t>Diapositiva 12 – Próximos pasos</w:t>
      </w:r>
    </w:p>
    <w:p>
      <w:pPr>
        <w:pStyle w:val="ListBullet"/>
        <w:keepLines w:val="1"/>
        <w:keepNext w:val="1"/>
        <w:widowControl w:val="1"/>
      </w:pPr>
      <w:r>
        <w:t xml:space="preserve">Actualización periódica de las métricas.  </w:t>
      </w:r>
    </w:p>
    <w:p>
      <w:pPr>
        <w:pStyle w:val="ListBullet"/>
        <w:keepLines w:val="1"/>
        <w:keepNext w:val="1"/>
        <w:widowControl w:val="1"/>
      </w:pPr>
      <w:r>
        <w:t xml:space="preserve">Integración con el ciclo ENS (revisión anual, auditorías, planes de adecuación).  </w:t>
      </w:r>
    </w:p>
    <w:p>
      <w:pPr>
        <w:pStyle w:val="ListBullet"/>
        <w:keepLines w:val="1"/>
        <w:widowControl w:val="1"/>
      </w:pPr>
      <w:r>
        <w:t>Plan de revisión del catálogo de métricas GQM + PRAGMATIC.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