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(Formato PowerPoint) – Encuesta PILAR–ENS</w:t>
      </w:r>
    </w:p>
    <w:p>
      <w:r>
        <w:t>Guion de diapositivas para presentar a la alta dirección los resultados de la encuesta, el IGM y las recomendaciones clave.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“Estado de la Madurez en Seguridad y ENS (PILAR–ENS)”  </w:t>
      </w:r>
    </w:p>
    <w:p>
      <w:pPr>
        <w:pStyle w:val="ListBullet"/>
        <w:keepLines w:val="1"/>
        <w:keepNext w:val="1"/>
        <w:widowControl w:val="1"/>
      </w:pPr>
      <w:r>
        <w:t xml:space="preserve">Subtítulo: Nombre de la organización, fecha.  </w:t>
      </w:r>
    </w:p>
    <w:p>
      <w:pPr>
        <w:pStyle w:val="ListBullet"/>
        <w:keepLines w:val="1"/>
        <w:widowControl w:val="1"/>
      </w:pPr>
      <w:r>
        <w:t>Pie: Área responsable (Seguridad de la Información / ENS).</w:t>
      </w:r>
    </w:p>
    <w:p>
      <w:pPr>
        <w:pStyle w:val="Heading2"/>
        <w:keepNext/>
        <w:keepLines/>
      </w:pPr>
      <w:r>
        <w:rPr>
          <w:color w:val="0066CC"/>
        </w:rPr>
        <w:t>Diapositiva 2 – Propósito del informe</w:t>
      </w:r>
    </w:p>
    <w:p>
      <w:pPr>
        <w:pStyle w:val="ListBullet"/>
        <w:keepLines w:val="1"/>
        <w:keepNext w:val="1"/>
        <w:widowControl w:val="1"/>
      </w:pPr>
      <w:r>
        <w:t xml:space="preserve">Objetivo de la encuesta y relación con el ENS.  </w:t>
      </w:r>
    </w:p>
    <w:p>
      <w:pPr>
        <w:pStyle w:val="ListBullet"/>
        <w:keepLines w:val="1"/>
        <w:keepNext w:val="1"/>
        <w:widowControl w:val="1"/>
      </w:pPr>
      <w:r>
        <w:t xml:space="preserve">Alcance (organización completa, sistemas críticos, etc.).  </w:t>
      </w:r>
    </w:p>
    <w:p>
      <w:pPr>
        <w:pStyle w:val="ListBullet"/>
        <w:keepLines w:val="1"/>
        <w:widowControl w:val="1"/>
      </w:pPr>
      <w:r>
        <w:t>Breve nota metodológica sobre el uso de PILAR y el cálculo del IGM.</w:t>
      </w:r>
    </w:p>
    <w:p>
      <w:pPr>
        <w:pStyle w:val="Heading2"/>
        <w:keepNext/>
        <w:keepLines/>
      </w:pPr>
      <w:r>
        <w:rPr>
          <w:color w:val="0066CC"/>
        </w:rPr>
        <w:t>Diapositiva 3 – Retrato de la organización</w:t>
      </w:r>
    </w:p>
    <w:p>
      <w:pPr>
        <w:pStyle w:val="ListBullet"/>
        <w:keepLines w:val="1"/>
        <w:keepNext w:val="1"/>
        <w:widowControl w:val="1"/>
      </w:pPr>
      <w:r>
        <w:t xml:space="preserve">Tipo de organismo, tamaño, ámbito de actividad.  </w:t>
      </w:r>
    </w:p>
    <w:p>
      <w:pPr>
        <w:pStyle w:val="ListBullet"/>
        <w:keepLines w:val="1"/>
        <w:keepNext w:val="1"/>
        <w:widowControl w:val="1"/>
      </w:pPr>
      <w:r>
        <w:t xml:space="preserve">Roles participantes en la encuesta.  </w:t>
      </w:r>
    </w:p>
    <w:p>
      <w:pPr>
        <w:pStyle w:val="ListBullet"/>
        <w:keepLines w:val="1"/>
        <w:widowControl w:val="1"/>
      </w:pPr>
      <w:r>
        <w:t>Estado actual del proyecto ENS (inicial, intermedio, avanzado).</w:t>
      </w:r>
    </w:p>
    <w:p>
      <w:pPr>
        <w:pStyle w:val="Heading2"/>
        <w:keepNext/>
        <w:keepLines/>
      </w:pPr>
      <w:r>
        <w:rPr>
          <w:color w:val="0066CC"/>
        </w:rPr>
        <w:t>Diapositiva 4 – Índice Global de Madurez (IGM)</w:t>
      </w:r>
    </w:p>
    <w:p>
      <w:pPr>
        <w:pStyle w:val="ListBullet"/>
        <w:keepLines w:val="1"/>
        <w:keepNext w:val="1"/>
        <w:widowControl w:val="1"/>
      </w:pPr>
      <w:r>
        <w:t xml:space="preserve">Gráfico principal: barra o velocímetro con IGM 0–100.  </w:t>
      </w:r>
    </w:p>
    <w:p>
      <w:pPr>
        <w:pStyle w:val="ListBullet"/>
        <w:keepLines w:val="1"/>
        <w:keepNext w:val="1"/>
        <w:widowControl w:val="1"/>
      </w:pPr>
      <w:r>
        <w:t xml:space="preserve">Leyenda: interpretación del rango (incipiente, intermedio, avanzado, alto).  </w:t>
      </w:r>
    </w:p>
    <w:p>
      <w:pPr>
        <w:pStyle w:val="ListBullet"/>
        <w:keepLines w:val="1"/>
        <w:widowControl w:val="1"/>
      </w:pPr>
      <w:r>
        <w:t>Comentario breve sobre evolución respecto a mediciones anteriores (si existen).</w:t>
      </w:r>
    </w:p>
    <w:p>
      <w:pPr>
        <w:pStyle w:val="Heading2"/>
        <w:keepNext/>
        <w:keepLines/>
      </w:pPr>
      <w:r>
        <w:rPr>
          <w:color w:val="0066CC"/>
        </w:rPr>
        <w:t>Diapositiva 5 – Madurez por dimensiones</w:t>
      </w:r>
    </w:p>
    <w:p>
      <w:pPr>
        <w:pStyle w:val="ListBullet"/>
        <w:keepLines w:val="1"/>
        <w:keepNext w:val="1"/>
        <w:widowControl w:val="1"/>
      </w:pPr>
      <w:r>
        <w:t xml:space="preserve">Gráfico radar o barras con las cinco dimensiones:  </w:t>
      </w:r>
    </w:p>
    <w:p>
      <w:pPr>
        <w:pStyle w:val="ListBullet"/>
        <w:keepLines w:val="1"/>
        <w:keepNext w:val="1"/>
        <w:widowControl w:val="1"/>
      </w:pPr>
      <w:r>
        <w:t xml:space="preserve">Metodología y alcance de riesgos.  </w:t>
      </w:r>
    </w:p>
    <w:p>
      <w:pPr>
        <w:pStyle w:val="ListBullet"/>
        <w:keepLines w:val="1"/>
        <w:keepNext w:val="1"/>
        <w:widowControl w:val="1"/>
      </w:pPr>
      <w:r>
        <w:t xml:space="preserve">Modelado de activos y dependencias.  </w:t>
      </w:r>
    </w:p>
    <w:p>
      <w:pPr>
        <w:pStyle w:val="ListBullet"/>
        <w:keepLines w:val="1"/>
        <w:keepNext w:val="1"/>
        <w:widowControl w:val="1"/>
      </w:pPr>
      <w:r>
        <w:t xml:space="preserve">Salvaguardas y controles ENS.  </w:t>
      </w:r>
    </w:p>
    <w:p>
      <w:pPr>
        <w:pStyle w:val="ListBullet"/>
        <w:keepLines w:val="1"/>
        <w:keepNext w:val="1"/>
        <w:widowControl w:val="1"/>
      </w:pPr>
      <w:r>
        <w:t xml:space="preserve">Ciclo de vida, continuidad y métricas.  </w:t>
      </w:r>
    </w:p>
    <w:p>
      <w:pPr>
        <w:pStyle w:val="ListBullet"/>
        <w:keepLines w:val="1"/>
        <w:keepNext w:val="1"/>
        <w:widowControl w:val="1"/>
      </w:pPr>
      <w:r>
        <w:t xml:space="preserve">Cultura, recursos y gobierno.  </w:t>
      </w:r>
    </w:p>
    <w:p>
      <w:pPr>
        <w:pStyle w:val="ListBullet"/>
        <w:keepLines w:val="1"/>
        <w:widowControl w:val="1"/>
      </w:pPr>
      <w:r>
        <w:t>Comentarios breves por dimensión (1–2 frases).</w:t>
      </w:r>
    </w:p>
    <w:p>
      <w:pPr>
        <w:pStyle w:val="Heading2"/>
        <w:keepNext/>
        <w:keepLines/>
      </w:pPr>
      <w:r>
        <w:rPr>
          <w:color w:val="0066CC"/>
        </w:rPr>
        <w:t>Diapositiva 6 – Fortalezas destacadas</w:t>
      </w:r>
    </w:p>
    <w:p>
      <w:pPr>
        <w:pStyle w:val="ListBullet"/>
        <w:keepLines w:val="1"/>
        <w:keepNext w:val="1"/>
        <w:widowControl w:val="1"/>
      </w:pPr>
      <w:r>
        <w:t xml:space="preserve">Listado de 3–5 puntos fuertes, por ejemplo:  </w:t>
      </w:r>
    </w:p>
    <w:p>
      <w:pPr>
        <w:pStyle w:val="ListBullet"/>
        <w:keepLines w:val="1"/>
        <w:keepNext w:val="1"/>
        <w:widowControl w:val="1"/>
      </w:pPr>
      <w:r>
        <w:t xml:space="preserve">Metodología de análisis de riesgos bien formalizada.  </w:t>
      </w:r>
    </w:p>
    <w:p>
      <w:pPr>
        <w:pStyle w:val="ListBullet"/>
        <w:keepLines w:val="1"/>
        <w:keepNext w:val="1"/>
        <w:widowControl w:val="1"/>
      </w:pPr>
      <w:r>
        <w:t xml:space="preserve">Alto nivel de madurez en controles técnicos críticos.  </w:t>
      </w:r>
    </w:p>
    <w:p>
      <w:pPr>
        <w:pStyle w:val="ListBullet"/>
        <w:keepLines w:val="1"/>
        <w:widowControl w:val="1"/>
      </w:pPr>
      <w:r>
        <w:t>Cuadros de mando periódicos para la dirección.</w:t>
      </w:r>
    </w:p>
    <w:p>
      <w:pPr>
        <w:pStyle w:val="Heading2"/>
        <w:keepNext/>
        <w:keepLines/>
      </w:pPr>
      <w:r>
        <w:rPr>
          <w:color w:val="0066CC"/>
        </w:rPr>
        <w:t>Diapositiva 7 – Áreas de mejora prioritarias</w:t>
      </w:r>
    </w:p>
    <w:p>
      <w:pPr>
        <w:pStyle w:val="ListBullet"/>
        <w:keepLines w:val="1"/>
        <w:keepNext w:val="1"/>
        <w:widowControl w:val="1"/>
      </w:pPr>
      <w:r>
        <w:t xml:space="preserve">Listado de 3–5 debilidades significativas, por ejemplo:  </w:t>
      </w:r>
    </w:p>
    <w:p>
      <w:pPr>
        <w:pStyle w:val="ListBullet"/>
        <w:keepLines w:val="1"/>
        <w:keepNext w:val="1"/>
        <w:widowControl w:val="1"/>
      </w:pPr>
      <w:r>
        <w:t xml:space="preserve">Participación limitada del negocio en la definición de requisitos.  </w:t>
      </w:r>
    </w:p>
    <w:p>
      <w:pPr>
        <w:pStyle w:val="ListBullet"/>
        <w:keepLines w:val="1"/>
        <w:keepNext w:val="1"/>
        <w:widowControl w:val="1"/>
      </w:pPr>
      <w:r>
        <w:t xml:space="preserve">Planes de continuidad poco ensayados.  </w:t>
      </w:r>
    </w:p>
    <w:p>
      <w:pPr>
        <w:pStyle w:val="ListBullet"/>
        <w:keepLines w:val="1"/>
        <w:widowControl w:val="1"/>
      </w:pPr>
      <w:r>
        <w:t>Integración incompleta de métricas de seguridad en la gestión de riesgos corporativos.</w:t>
      </w:r>
    </w:p>
    <w:p>
      <w:pPr>
        <w:pStyle w:val="Heading2"/>
        <w:keepNext/>
        <w:keepLines/>
      </w:pPr>
      <w:r>
        <w:rPr>
          <w:color w:val="0066CC"/>
        </w:rPr>
        <w:t>Diapositiva 8 – Riesgos y brechas ENS relevantes</w:t>
      </w:r>
    </w:p>
    <w:p>
      <w:pPr>
        <w:pStyle w:val="ListBullet"/>
        <w:keepLines w:val="1"/>
        <w:keepNext w:val="1"/>
        <w:widowControl w:val="1"/>
      </w:pPr>
      <w:r>
        <w:t xml:space="preserve">Síntesis de las brechas que pueden tener impacto regulatorio o reputacional.  </w:t>
      </w:r>
    </w:p>
    <w:p>
      <w:pPr>
        <w:pStyle w:val="ListBullet"/>
        <w:keepLines w:val="1"/>
        <w:keepNext w:val="1"/>
        <w:widowControl w:val="1"/>
      </w:pPr>
      <w:r>
        <w:t xml:space="preserve">Indicadores clave (por ejemplo, controles ENS obligatorios marcados como no aplicables).  </w:t>
      </w:r>
    </w:p>
    <w:p>
      <w:pPr>
        <w:pStyle w:val="ListBullet"/>
        <w:keepLines w:val="1"/>
        <w:widowControl w:val="1"/>
      </w:pPr>
      <w:r>
        <w:t>Relación con incidentes recientes, si los hay.</w:t>
      </w:r>
    </w:p>
    <w:p>
      <w:pPr>
        <w:pStyle w:val="Heading2"/>
        <w:keepNext/>
        <w:keepLines/>
      </w:pPr>
      <w:r>
        <w:rPr>
          <w:color w:val="0066CC"/>
        </w:rPr>
        <w:t>Diapositiva 9 – Propuestas de acción a 12 meses</w:t>
      </w:r>
    </w:p>
    <w:p>
      <w:pPr>
        <w:pStyle w:val="ListBullet"/>
        <w:keepLines w:val="1"/>
        <w:keepNext w:val="1"/>
        <w:widowControl w:val="1"/>
      </w:pPr>
      <w:r>
        <w:t xml:space="preserve">Tabla con:  </w:t>
      </w:r>
    </w:p>
    <w:p>
      <w:pPr>
        <w:pStyle w:val="ListBullet"/>
        <w:keepLines w:val="1"/>
        <w:keepNext w:val="1"/>
        <w:widowControl w:val="1"/>
      </w:pPr>
      <w:r>
        <w:t xml:space="preserve">Acción propuesta.  </w:t>
      </w:r>
    </w:p>
    <w:p>
      <w:pPr>
        <w:pStyle w:val="ListBullet"/>
        <w:keepLines w:val="1"/>
        <w:keepNext w:val="1"/>
        <w:widowControl w:val="1"/>
      </w:pPr>
      <w:r>
        <w:t xml:space="preserve">Impacto esperado (alto/medio/bajo).  </w:t>
      </w:r>
    </w:p>
    <w:p>
      <w:pPr>
        <w:pStyle w:val="ListBullet"/>
        <w:keepLines w:val="1"/>
        <w:keepNext w:val="1"/>
        <w:widowControl w:val="1"/>
      </w:pPr>
      <w:r>
        <w:t xml:space="preserve">Esfuerzo relativo (alto/medio/bajo).  </w:t>
      </w:r>
    </w:p>
    <w:p>
      <w:pPr>
        <w:pStyle w:val="ListBullet"/>
        <w:keepLines w:val="1"/>
        <w:keepNext w:val="1"/>
        <w:widowControl w:val="1"/>
      </w:pPr>
      <w:r>
        <w:t xml:space="preserve">Dimensiones IGM impactadas.  </w:t>
      </w:r>
    </w:p>
    <w:p>
      <w:pPr>
        <w:pStyle w:val="ListBullet"/>
        <w:keepLines w:val="1"/>
        <w:widowControl w:val="1"/>
      </w:pPr>
      <w:r>
        <w:t>Señalar entre 5 y 8 acciones realistas.</w:t>
      </w:r>
    </w:p>
    <w:p>
      <w:pPr>
        <w:pStyle w:val="Heading2"/>
        <w:keepNext/>
        <w:keepLines/>
      </w:pPr>
      <w:r>
        <w:rPr>
          <w:color w:val="0066CC"/>
        </w:rPr>
        <w:t>Diapositiva 10 – Inversiones y ROI estimado</w:t>
      </w:r>
    </w:p>
    <w:p>
      <w:pPr>
        <w:pStyle w:val="ListBullet"/>
        <w:keepLines w:val="1"/>
        <w:keepNext w:val="1"/>
        <w:widowControl w:val="1"/>
      </w:pPr>
      <w:r>
        <w:t xml:space="preserve">Gráfico comparando proyectos de seguridad clave (coste vs. beneficio esperado).  </w:t>
      </w:r>
    </w:p>
    <w:p>
      <w:pPr>
        <w:pStyle w:val="ListBullet"/>
        <w:keepLines w:val="1"/>
        <w:keepNext w:val="1"/>
        <w:widowControl w:val="1"/>
      </w:pPr>
      <w:r>
        <w:t xml:space="preserve">Referencia al modelo de ROI construido en la plantilla Excel.  </w:t>
      </w:r>
    </w:p>
    <w:p>
      <w:pPr>
        <w:pStyle w:val="ListBullet"/>
        <w:keepLines w:val="1"/>
        <w:widowControl w:val="1"/>
      </w:pPr>
      <w:r>
        <w:t>Mensaje claro sobre el valor de negocio de las inversiones propuestas.</w:t>
      </w:r>
    </w:p>
    <w:p>
      <w:pPr>
        <w:pStyle w:val="Heading2"/>
        <w:keepNext/>
        <w:keepLines/>
      </w:pPr>
      <w:r>
        <w:rPr>
          <w:color w:val="0066CC"/>
        </w:rPr>
        <w:t>Diapositiva 11 – Roadmap y próximos pasos</w:t>
      </w:r>
    </w:p>
    <w:p>
      <w:pPr>
        <w:pStyle w:val="ListBullet"/>
        <w:keepLines w:val="1"/>
        <w:keepNext w:val="1"/>
        <w:widowControl w:val="1"/>
      </w:pPr>
      <w:r>
        <w:t xml:space="preserve">Línea temporal con hitos principales para los próximos 12–24 meses.  </w:t>
      </w:r>
    </w:p>
    <w:p>
      <w:pPr>
        <w:pStyle w:val="ListBullet"/>
        <w:keepLines w:val="1"/>
        <w:keepNext w:val="1"/>
        <w:widowControl w:val="1"/>
      </w:pPr>
      <w:r>
        <w:t xml:space="preserve">Integración con otros programas (transformación digital, continuidad, etc.).  </w:t>
      </w:r>
    </w:p>
    <w:p>
      <w:pPr>
        <w:pStyle w:val="ListBullet"/>
        <w:keepLines w:val="1"/>
        <w:widowControl w:val="1"/>
      </w:pPr>
      <w:r>
        <w:t>Indicadores de éxito (por ejemplo, incremento esperado de IGM).</w:t>
      </w:r>
    </w:p>
    <w:p>
      <w:pPr>
        <w:pStyle w:val="Heading2"/>
        <w:keepNext/>
        <w:keepLines/>
      </w:pPr>
      <w:r>
        <w:rPr>
          <w:color w:val="0066CC"/>
        </w:rPr>
        <w:t>Diapositiva 12 – Cierre y mensaje final</w:t>
      </w:r>
    </w:p>
    <w:p>
      <w:pPr>
        <w:pStyle w:val="ListBullet"/>
        <w:keepLines w:val="1"/>
        <w:keepNext w:val="1"/>
        <w:widowControl w:val="1"/>
      </w:pPr>
      <w:r>
        <w:t xml:space="preserve">Resumen de ideas clave (3–4 mensajes).  </w:t>
      </w:r>
    </w:p>
    <w:p>
      <w:pPr>
        <w:pStyle w:val="ListBullet"/>
        <w:keepLines w:val="1"/>
        <w:keepNext w:val="1"/>
        <w:widowControl w:val="1"/>
      </w:pPr>
      <w:r>
        <w:t xml:space="preserve">Llamada a la acción de la dirección (decisiones necesarias, patrocinios, recursos).  </w:t>
      </w:r>
    </w:p>
    <w:p>
      <w:pPr>
        <w:pStyle w:val="ListBullet"/>
        <w:keepLines w:val="1"/>
        <w:widowControl w:val="1"/>
      </w:pPr>
      <w:r>
        <w:t>Nota final que recuerde que el objetivo es gestionar el riesgo, no eliminarlo mágicamente.</w:t>
      </w:r>
    </w:p>
    <w:p>
      <w:r>
        <w:t>Esta plantilla puede adaptarse en longitud y tono según la cultura de la organización, pero la estructura básica está pensada para respetar la capacidad de atención típica de los comités de dirección.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