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README – Kit de Encuesta de Madurez PILAR–ENS</w:t>
      </w:r>
    </w:p>
    <w:p>
      <w:r>
        <w:t>Bienvenido/a al kit de encuesta diseñado para evaluar la madurez de su organización en análisis de riesgos, implementación de medidas ENS y uso (real o potencial) de la metodología PILAR.</w:t>
      </w:r>
    </w:p>
    <w:p>
      <w:pPr>
        <w:pStyle w:val="Heading2"/>
        <w:keepNext/>
        <w:keepLines/>
      </w:pPr>
      <w:r>
        <w:rPr>
          <w:color w:val="0066CC"/>
        </w:rPr>
        <w:t>1. Contenido del kit</w:t>
      </w:r>
    </w:p>
    <w:p>
      <w:r>
        <w:t>El kit incluye los siguientes componentes (todos en formato Markdown):</w:t>
      </w:r>
    </w:p>
    <w:p>
      <w:pPr>
        <w:pStyle w:val="ListBullet"/>
        <w:keepLines w:val="1"/>
        <w:keepNext w:val="1"/>
        <w:widowControl w:val="1"/>
      </w:pPr>
      <w:r>
        <w:t xml:space="preserve">a_modelo_encuesta.md: Cuestionario detallado para ser respondido por los responsables designados.  </w:t>
      </w:r>
    </w:p>
    <w:p>
      <w:pPr>
        <w:pStyle w:val="ListBullet"/>
        <w:keepLines w:val="1"/>
        <w:keepNext w:val="1"/>
        <w:widowControl w:val="1"/>
      </w:pPr>
      <w:r>
        <w:t xml:space="preserve">b_guia_metodologica.md: Instrucciones para la aplicación de la encuesta y el cálculo del IGM.  </w:t>
      </w:r>
    </w:p>
    <w:p>
      <w:pPr>
        <w:pStyle w:val="ListBullet"/>
        <w:keepLines w:val="1"/>
        <w:keepNext w:val="1"/>
        <w:widowControl w:val="1"/>
      </w:pPr>
      <w:r>
        <w:t xml:space="preserve">c_narrativa_explicativa.md: Guion para redactar el informe narrativo de resultados.  </w:t>
      </w:r>
    </w:p>
    <w:p>
      <w:pPr>
        <w:pStyle w:val="ListBullet"/>
        <w:keepLines w:val="1"/>
        <w:keepNext w:val="1"/>
        <w:widowControl w:val="1"/>
      </w:pPr>
      <w:r>
        <w:t xml:space="preserve">d_mapeo_preguntas_normativa.md: Tabla de correspondencia entre preguntas y requisitos ENS / PILAR.  </w:t>
      </w:r>
    </w:p>
    <w:p>
      <w:pPr>
        <w:pStyle w:val="ListBullet"/>
        <w:keepLines w:val="1"/>
        <w:keepNext w:val="1"/>
        <w:widowControl w:val="1"/>
      </w:pPr>
      <w:r>
        <w:t xml:space="preserve">e_plantilla_excel_igm_roi.md: Especificación para crear una hoja de cálculo de IGM y ROI.  </w:t>
      </w:r>
    </w:p>
    <w:p>
      <w:pPr>
        <w:pStyle w:val="ListBullet"/>
        <w:keepLines w:val="1"/>
        <w:widowControl w:val="1"/>
      </w:pPr>
      <w:r>
        <w:t xml:space="preserve">f_plantilla_reporte_ejecutivo_ppt.md: Guion de presentación ejecutiva para comité de dirección.  </w:t>
      </w:r>
    </w:p>
    <w:p>
      <w:pPr>
        <w:pStyle w:val="Heading2"/>
        <w:keepNext/>
        <w:keepLines/>
      </w:pPr>
      <w:r>
        <w:rPr>
          <w:color w:val="0066CC"/>
        </w:rPr>
        <w:t>2. Flujo de uso recomendado</w:t>
      </w:r>
    </w:p>
    <w:p>
      <w:pPr>
        <w:pStyle w:val="ListNumber"/>
        <w:keepLines w:val="1"/>
        <w:keepNext w:val="1"/>
        <w:widowControl w:val="1"/>
      </w:pPr>
      <w:r>
        <w:t xml:space="preserve">Adaptar, si es necesario, el modelo de encuesta a la realidad de la organización (sin desnaturalizar sus escalas).  </w:t>
      </w:r>
    </w:p>
    <w:p>
      <w:pPr>
        <w:pStyle w:val="ListNumber"/>
        <w:keepLines w:val="1"/>
        <w:keepNext w:val="1"/>
        <w:widowControl w:val="1"/>
      </w:pPr>
      <w:r>
        <w:t xml:space="preserve">Identificar a las personas que deben participar en la cumplimentación (seguridad, TI, negocio, continuidad, etc.).  </w:t>
      </w:r>
    </w:p>
    <w:p>
      <w:pPr>
        <w:pStyle w:val="ListNumber"/>
        <w:keepLines w:val="1"/>
        <w:keepNext w:val="1"/>
        <w:widowControl w:val="1"/>
      </w:pPr>
      <w:r>
        <w:t xml:space="preserve">Realizar la encuesta: sesión conjunta o recogida individual seguida de consolidación.  </w:t>
      </w:r>
    </w:p>
    <w:p>
      <w:pPr>
        <w:pStyle w:val="ListNumber"/>
        <w:keepLines w:val="1"/>
        <w:keepNext w:val="1"/>
        <w:widowControl w:val="1"/>
      </w:pPr>
      <w:r>
        <w:t xml:space="preserve">Volcar las respuestas en la hoja de cálculo definida en e_plantilla_excel_igm_roi.md.  </w:t>
      </w:r>
    </w:p>
    <w:p>
      <w:pPr>
        <w:pStyle w:val="ListNumber"/>
        <w:keepLines w:val="1"/>
        <w:keepNext w:val="1"/>
        <w:widowControl w:val="1"/>
      </w:pPr>
      <w:r>
        <w:t xml:space="preserve">Calcular el IGM y analizar resultados por dimensión.  </w:t>
      </w:r>
    </w:p>
    <w:p>
      <w:pPr>
        <w:pStyle w:val="ListNumber"/>
        <w:keepLines w:val="1"/>
        <w:keepNext w:val="1"/>
        <w:widowControl w:val="1"/>
      </w:pPr>
      <w:r>
        <w:t xml:space="preserve">Elaborar la narrativa explicativa (c_narrativa_explicativa.md), integrando los datos con el contexto.  </w:t>
      </w:r>
    </w:p>
    <w:p>
      <w:pPr>
        <w:pStyle w:val="ListNumber"/>
        <w:keepLines w:val="1"/>
        <w:keepNext w:val="1"/>
        <w:widowControl w:val="1"/>
      </w:pPr>
      <w:r>
        <w:t xml:space="preserve">Preparar la presentación ejecutiva basada en f_plantilla_reporte_ejecutivo_ppt.md.  </w:t>
      </w:r>
    </w:p>
    <w:p>
      <w:pPr>
        <w:pStyle w:val="ListNumber"/>
        <w:keepLines w:val="1"/>
        <w:widowControl w:val="1"/>
      </w:pPr>
      <w:r>
        <w:t>Acordar y priorizar acciones de mejora, vinculándolas con el roadmap ENS y otros planes de seguridad.</w:t>
      </w:r>
    </w:p>
    <w:p>
      <w:pPr>
        <w:pStyle w:val="Heading2"/>
        <w:keepNext/>
        <w:keepLines/>
      </w:pPr>
      <w:r>
        <w:rPr>
          <w:color w:val="0066CC"/>
        </w:rPr>
        <w:t>3. Roles recomendados</w:t>
      </w:r>
    </w:p>
    <w:p>
      <w:pPr>
        <w:pStyle w:val="ListBullet"/>
        <w:keepLines w:val="1"/>
        <w:keepNext w:val="1"/>
        <w:widowControl w:val="1"/>
      </w:pPr>
      <w:r>
        <w:t xml:space="preserve">Propietario del proceso: CISO / Responsable ENS o rol equivalente.  </w:t>
      </w:r>
    </w:p>
    <w:p>
      <w:pPr>
        <w:pStyle w:val="ListBullet"/>
        <w:keepLines w:val="1"/>
        <w:keepNext w:val="1"/>
        <w:widowControl w:val="1"/>
      </w:pPr>
      <w:r>
        <w:t xml:space="preserve">Equipo facilitador: personal de seguridad de la información, auditoría interna, oficina de proyectos.  </w:t>
      </w:r>
    </w:p>
    <w:p>
      <w:pPr>
        <w:pStyle w:val="ListBullet"/>
        <w:keepLines w:val="1"/>
        <w:widowControl w:val="1"/>
      </w:pPr>
      <w:r>
        <w:t>Participantes clave: responsables de sistemas, propietarios de procesos críticos, representantes de continuidad y negocio.</w:t>
      </w:r>
    </w:p>
    <w:p>
      <w:pPr>
        <w:pStyle w:val="Heading2"/>
        <w:keepNext/>
        <w:keepLines/>
      </w:pPr>
      <w:r>
        <w:rPr>
          <w:color w:val="0066CC"/>
        </w:rPr>
        <w:t>4. Frecuencia de uso</w:t>
      </w:r>
    </w:p>
    <w:p>
      <w:pPr>
        <w:pStyle w:val="ListBullet"/>
        <w:keepLines w:val="1"/>
        <w:keepNext w:val="1"/>
        <w:widowControl w:val="1"/>
      </w:pPr>
      <w:r>
        <w:t xml:space="preserve">Recomendación mínima: anual, en sincronía con las revisiones ENS.  </w:t>
      </w:r>
    </w:p>
    <w:p>
      <w:pPr>
        <w:pStyle w:val="ListBullet"/>
        <w:keepLines w:val="1"/>
        <w:widowControl w:val="1"/>
      </w:pPr>
      <w:r>
        <w:t xml:space="preserve">Recomendación ideal: tras hitos significativos (reorganizaciones, grandes proyectos, incidentes relevantes) para medir el impacto en la madurez.  </w:t>
      </w:r>
    </w:p>
    <w:p>
      <w:pPr>
        <w:pStyle w:val="Heading2"/>
        <w:keepNext/>
        <w:keepLines/>
      </w:pPr>
      <w:r>
        <w:rPr>
          <w:color w:val="0066CC"/>
        </w:rPr>
        <w:t>5. Personalización y extensión</w:t>
      </w:r>
    </w:p>
    <w:p>
      <w:r>
        <w:t>El kit está pensado para ser:</w:t>
      </w:r>
    </w:p>
    <w:p>
      <w:pPr>
        <w:pStyle w:val="ListBullet"/>
        <w:keepLines w:val="1"/>
        <w:keepNext w:val="1"/>
        <w:widowControl w:val="1"/>
      </w:pPr>
      <w:r>
        <w:t xml:space="preserve">Ampliable: se pueden añadir módulos específicos por sector (sanidad, educación, justicia, etc.).  </w:t>
      </w:r>
    </w:p>
    <w:p>
      <w:pPr>
        <w:pStyle w:val="ListBullet"/>
        <w:keepLines w:val="1"/>
        <w:keepNext w:val="1"/>
        <w:widowControl w:val="1"/>
      </w:pPr>
      <w:r>
        <w:t xml:space="preserve">Adaptable: los pesos de las dimensiones y las escalas pueden ajustarse siempre que se documenten los cambios.  </w:t>
      </w:r>
    </w:p>
    <w:p>
      <w:pPr>
        <w:pStyle w:val="ListBullet"/>
        <w:keepLines w:val="1"/>
        <w:widowControl w:val="1"/>
      </w:pPr>
      <w:r>
        <w:t>Reutilizable: al mantener la estructura básica, se facilita la comparación en el tiempo.</w:t>
      </w:r>
    </w:p>
    <w:p>
      <w:pPr>
        <w:pStyle w:val="Heading2"/>
        <w:keepNext/>
        <w:keepLines/>
      </w:pPr>
      <w:r>
        <w:rPr>
          <w:color w:val="0066CC"/>
        </w:rPr>
        <w:t>6. Advertencias amables</w:t>
      </w:r>
    </w:p>
    <w:p>
      <w:pPr>
        <w:pStyle w:val="ListBullet"/>
        <w:keepLines w:val="1"/>
        <w:keepNext w:val="1"/>
        <w:widowControl w:val="1"/>
      </w:pPr>
      <w:r>
        <w:t xml:space="preserve">La encuesta mide percepción cualificada, no sustituye al análisis de riesgos detallado ni a las auditorías.  </w:t>
      </w:r>
    </w:p>
    <w:p>
      <w:pPr>
        <w:pStyle w:val="ListBullet"/>
        <w:keepLines w:val="1"/>
        <w:keepNext w:val="1"/>
        <w:widowControl w:val="1"/>
      </w:pPr>
      <w:r>
        <w:t xml:space="preserve">Un IGM alto no garantiza inmunidad; un IGM bajo no implica caos, pero sí invita a actuar.  </w:t>
      </w:r>
    </w:p>
    <w:p>
      <w:pPr>
        <w:pStyle w:val="ListBullet"/>
        <w:keepLines w:val="1"/>
        <w:widowControl w:val="1"/>
      </w:pPr>
      <w:r>
        <w:t>La honestidad en las respuestas es más valiosa que una foto “bonita” pero poco creíble.</w:t>
      </w:r>
    </w:p>
    <w:p>
      <w:pPr>
        <w:pStyle w:val="Heading2"/>
        <w:keepNext/>
        <w:keepLines/>
      </w:pPr>
      <w:r>
        <w:rPr>
          <w:color w:val="0066CC"/>
        </w:rPr>
        <w:t>7. Soporte y evolución</w:t>
      </w:r>
    </w:p>
    <w:p>
      <w:r>
        <w:t>Se recomienda:</w:t>
      </w:r>
    </w:p>
    <w:p>
      <w:pPr>
        <w:pStyle w:val="ListBullet"/>
        <w:keepLines w:val="1"/>
        <w:keepNext w:val="1"/>
        <w:widowControl w:val="1"/>
      </w:pPr>
      <w:r>
        <w:t xml:space="preserve">Revisar periódicamente el kit para alinearlo con actualizaciones del ENS y de las guías CCN-STIC.  </w:t>
      </w:r>
    </w:p>
    <w:p>
      <w:pPr>
        <w:pStyle w:val="ListBullet"/>
        <w:keepLines w:val="1"/>
        <w:keepNext w:val="1"/>
        <w:widowControl w:val="1"/>
      </w:pPr>
      <w:r>
        <w:t xml:space="preserve">Integrar en la medida de lo posible datos provenientes de proyectos PILAR y otros sistemas de gestión de riesgos.  </w:t>
      </w:r>
    </w:p>
    <w:p>
      <w:pPr>
        <w:pStyle w:val="ListBullet"/>
        <w:keepLines w:val="1"/>
        <w:widowControl w:val="1"/>
      </w:pPr>
      <w:r>
        <w:t>Compartir lecciones aprendidas dentro de la organización y, cuando sea viable, con comunidades sectoriales.</w:t>
      </w:r>
    </w:p>
    <w:p>
      <w:r>
        <w:t>Gracias por utilizar este kit.</w:t>
      </w:r>
      <w:r/>
      <w:r>
        <w:br/>
        <w:t>Si al terminar la primera iteración siente una mezcla de ligera inquietud y cierto alivio, probablemente vamos por buen camino: ha visto las grietas, pero también las posibilidades de arreglarlas.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