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EXHAUSTIVA</w:t>
      </w:r>
    </w:p>
    <w:p>
      <w:pPr>
        <w:pStyle w:val="Heading2"/>
        <w:keepNext/>
        <w:keepLines/>
      </w:pPr>
      <w:r>
        <w:rPr>
          <w:color w:val="0066CC"/>
        </w:rPr>
        <w:t>Kit de Encuesta ENS 2026 - Administración de Aplicación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pPr>
        <w:pStyle w:val="ListNumber"/>
        <w:keepLines w:val="1"/>
        <w:keepNext w:val="1"/>
        <w:widowControl w:val="1"/>
      </w:pPr>
      <w:r>
        <w:t>Propósito y Alcance</w:t>
      </w:r>
    </w:p>
    <w:p>
      <w:pPr>
        <w:pStyle w:val="ListNumber"/>
        <w:keepLines w:val="1"/>
        <w:keepNext w:val="1"/>
        <w:widowControl w:val="1"/>
      </w:pPr>
      <w:r>
        <w:t>Metodología GQM Aplicada</w:t>
      </w:r>
    </w:p>
    <w:p>
      <w:pPr>
        <w:pStyle w:val="ListNumber"/>
        <w:keepLines w:val="1"/>
        <w:keepNext w:val="1"/>
        <w:widowControl w:val="1"/>
      </w:pPr>
      <w:r>
        <w:t>Selección de Muestra y Participantes</w:t>
      </w:r>
    </w:p>
    <w:p>
      <w:pPr>
        <w:pStyle w:val="ListNumber"/>
        <w:keepLines w:val="1"/>
        <w:keepNext w:val="1"/>
        <w:widowControl w:val="1"/>
      </w:pPr>
      <w:r>
        <w:t>Proceso de Administración</w:t>
      </w:r>
    </w:p>
    <w:p>
      <w:pPr>
        <w:pStyle w:val="ListNumber"/>
        <w:keepLines w:val="1"/>
        <w:keepNext w:val="1"/>
        <w:widowControl w:val="1"/>
      </w:pPr>
      <w:r>
        <w:t>Interpretación de Respuestas</w:t>
      </w:r>
    </w:p>
    <w:p>
      <w:pPr>
        <w:pStyle w:val="ListNumber"/>
        <w:keepLines w:val="1"/>
        <w:keepNext w:val="1"/>
        <w:widowControl w:val="1"/>
      </w:pPr>
      <w:r>
        <w:t>Cálculo del IGM (Índice de Gestión de Madurez)</w:t>
      </w:r>
    </w:p>
    <w:p>
      <w:pPr>
        <w:pStyle w:val="ListNumber"/>
        <w:keepLines w:val="1"/>
        <w:keepNext w:val="1"/>
        <w:widowControl w:val="1"/>
      </w:pPr>
      <w:r>
        <w:t>Análisis Estadístico</w:t>
      </w:r>
    </w:p>
    <w:p>
      <w:pPr>
        <w:pStyle w:val="ListNumber"/>
        <w:keepLines w:val="1"/>
        <w:keepNext w:val="1"/>
        <w:widowControl w:val="1"/>
      </w:pPr>
      <w:r>
        <w:t>Gestión de Riesgos en Aplicación</w:t>
      </w:r>
    </w:p>
    <w:p>
      <w:pPr>
        <w:pStyle w:val="ListNumber"/>
        <w:keepLines w:val="1"/>
        <w:keepNext w:val="1"/>
        <w:widowControl w:val="1"/>
      </w:pPr>
      <w:r>
        <w:t>Confidencialidad y Governance</w:t>
      </w:r>
    </w:p>
    <w:p>
      <w:pPr>
        <w:pStyle w:val="ListNumber"/>
        <w:keepLines w:val="1"/>
        <w:widowControl w:val="1"/>
      </w:pPr>
      <w:r>
        <w:t>Cronograma Recomendado</w:t>
      </w:r>
    </w:p>
    <w:p>
      <w:pPr>
        <w:pStyle w:val="Heading2"/>
        <w:keepNext/>
        <w:keepLines/>
      </w:pPr>
      <w:r>
        <w:rPr>
          <w:color w:val="0066CC"/>
        </w:rPr>
        <w:t>1. Propósito y Alcance</w:t>
      </w:r>
    </w:p>
    <w:p>
      <w:pPr>
        <w:pStyle w:val="Heading3"/>
        <w:keepNext/>
        <w:keepLines/>
      </w:pPr>
      <w:r>
        <w:t>1.1 Objetivos Primarios</w:t>
      </w:r>
    </w:p>
    <w:p>
      <w:r>
        <w:rPr>
          <w:b/>
        </w:rPr>
        <w:t>Objetivo 1: Diagnóstico Basal</w:t>
      </w:r>
      <w:r/>
      <w:r>
        <w:br/>
        <w:t>- Establecer línea base de madurez ciberseguridad en la organización</w:t>
      </w:r>
      <w:r/>
      <w:r>
        <w:br/>
        <w:t>- Identificar brechas respecto a ENS, NIST CSF 2.0, NIS2</w:t>
      </w:r>
      <w:r/>
      <w:r>
        <w:br/>
        <w:t>- Priorizar inversiones en ciberseguridad</w:t>
      </w:r>
    </w:p>
    <w:p>
      <w:r>
        <w:rPr>
          <w:b/>
        </w:rPr>
        <w:t>Objetivo 2: Monitoreo Continuado</w:t>
      </w:r>
      <w:r/>
      <w:r>
        <w:br/>
        <w:t>- Medir progreso año a año (comparativa longitudinal)</w:t>
      </w:r>
      <w:r/>
      <w:r>
        <w:br/>
        <w:t>- Detectar degradación o mejora en postura de seguridad</w:t>
      </w:r>
      <w:r/>
      <w:r>
        <w:br/>
        <w:t>- Apoyar decisiones de presupuesto y recursos</w:t>
      </w:r>
    </w:p>
    <w:p>
      <w:r>
        <w:rPr>
          <w:b/>
        </w:rPr>
        <w:t>Objetivo 3: Benchmarking</w:t>
      </w:r>
      <w:r/>
      <w:r>
        <w:br/>
        <w:t>- Comparar postura con pares sectoriales (si bases de datos disponibles)</w:t>
      </w:r>
      <w:r/>
      <w:r>
        <w:br/>
        <w:t>- Identificar prácticas líderes en la industria</w:t>
      </w:r>
      <w:r/>
      <w:r>
        <w:br/>
        <w:t>- Establecer metas realistas de madurez</w:t>
      </w:r>
    </w:p>
    <w:p>
      <w:pPr>
        <w:pStyle w:val="Heading3"/>
        <w:keepNext/>
        <w:keepLines/>
      </w:pPr>
      <w:r>
        <w:t>1.2 Alcance Organizacional</w:t>
      </w:r>
    </w:p>
    <w:p>
      <w:r>
        <w:t>La encuesta está diseñada para:</w:t>
      </w:r>
      <w:r/>
      <w:r>
        <w:br/>
        <w:t xml:space="preserve">- </w:t>
      </w:r>
      <w:r>
        <w:rPr>
          <w:b/>
        </w:rPr>
        <w:t>Administración Pública</w:t>
      </w:r>
      <w:r>
        <w:t xml:space="preserve"> (Central, Autonómica, Local)</w:t>
      </w:r>
      <w:r/>
      <w:r>
        <w:br/>
        <w:t xml:space="preserve">- </w:t>
      </w:r>
      <w:r>
        <w:rPr>
          <w:b/>
        </w:rPr>
        <w:t>Operadores Esenciales</w:t>
      </w:r>
      <w:r>
        <w:t xml:space="preserve"> (Energía, Agua, Transporte, Sanidad, Finanzas, TIC)</w:t>
      </w:r>
      <w:r/>
      <w:r>
        <w:br/>
        <w:t xml:space="preserve">- </w:t>
      </w:r>
      <w:r>
        <w:rPr>
          <w:b/>
        </w:rPr>
        <w:t>Operadores Importantes</w:t>
      </w:r>
      <w:r>
        <w:t xml:space="preserve"> (según NIS2)</w:t>
      </w:r>
      <w:r/>
      <w:r>
        <w:br/>
        <w:t xml:space="preserve">- </w:t>
      </w:r>
      <w:r>
        <w:rPr>
          <w:b/>
        </w:rPr>
        <w:t>Sector Privado</w:t>
      </w:r>
      <w:r>
        <w:t xml:space="preserve"> (todas las ramas)</w:t>
      </w:r>
      <w:r/>
      <w:r>
        <w:br/>
        <w:t xml:space="preserve">- </w:t>
      </w:r>
      <w:r>
        <w:rPr>
          <w:b/>
        </w:rPr>
        <w:t>Organizaciones de cualquier tamaño</w:t>
      </w:r>
      <w:r>
        <w:t xml:space="preserve"> (desde micro hasta mega)</w:t>
      </w:r>
    </w:p>
    <w:p>
      <w:pPr>
        <w:pStyle w:val="Heading2"/>
        <w:keepNext/>
        <w:keepLines/>
      </w:pPr>
      <w:r>
        <w:rPr>
          <w:color w:val="0066CC"/>
        </w:rPr>
        <w:t>2. Metodología GQM Aplicada</w:t>
      </w:r>
    </w:p>
    <w:p>
      <w:pPr>
        <w:pStyle w:val="Heading3"/>
        <w:keepNext/>
        <w:keepLines/>
      </w:pPr>
      <w:r>
        <w:t>2.1 Fundamentos GQM (Goal-Question-Metric)</w:t>
      </w:r>
    </w:p>
    <w:p>
      <w:r>
        <w:t xml:space="preserve">La encuesta sigue el enfoque </w:t>
      </w:r>
      <w:r>
        <w:rPr>
          <w:b/>
        </w:rPr>
        <w:t>GQM</w:t>
      </w:r>
      <w:r>
        <w:t xml:space="preserve"> en tres niveles:</w:t>
      </w:r>
    </w:p>
    <w:p>
      <w:r>
        <w:rPr>
          <w:b/>
        </w:rPr>
        <w:t>Nivel Conceptual (Goals/Objetivos):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Meta General: "Alcanzar madurez de ciberseguridad alineada a ENS"</w:t>
        <w:br/>
        <w:t xml:space="preserve">  ├─ Meta 1: "Conformidad completa con ENS"</w:t>
        <w:br/>
        <w:t xml:space="preserve">  ├─ Meta 2: "Detección proactiva de amenazas (MTTD &lt; 24h)"</w:t>
        <w:br/>
        <w:t xml:space="preserve">  ├─ Meta 3: "Respuesta efectiva a incidentes (MTTR &lt; 4h sistemas críticos)"</w:t>
        <w:br/>
        <w:t xml:space="preserve">  └─ Meta 4: "Cultura de seguridad en toda la organización"</w:t>
        <w:br/>
      </w:r>
    </w:p>
    <w:p>
      <w:r>
        <w:rPr>
          <w:b/>
        </w:rPr>
        <w:t>Nivel Operacional (Questions/Preguntas):</w:t>
      </w:r>
      <w:r/>
      <w:r>
        <w:br/>
        <w:t>Cada meta se desglosa en 3-5 preguntas operacionales (P1-P114 en encuesta)</w:t>
      </w:r>
    </w:p>
    <w:p>
      <w:r>
        <w:rPr>
          <w:b/>
        </w:rPr>
        <w:t>Nivel Cuantitativo (Metrics/Métricas):</w:t>
      </w:r>
      <w:r/>
      <w:r>
        <w:br/>
        <w:t>Cada pregunta asigna puntuación según madurez (1-5 puntos típicamente)</w:t>
      </w:r>
    </w:p>
    <w:p>
      <w:pPr>
        <w:pStyle w:val="Heading3"/>
        <w:keepNext/>
        <w:keepLines/>
      </w:pPr>
      <w:r>
        <w:t>2.2 Mapeo de Preguntas a Objetivos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Asociadas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ENS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P6-P16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12-16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P17-P35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18-31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P36-P50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Anexo II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Incidentes/Respuesta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P46-P68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33-34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Capacitación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P79-P94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27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P95-P104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Transversal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Finanzas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P105-P109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ROI/Valor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Selección de Muestra y Participantes</w:t>
      </w:r>
    </w:p>
    <w:p>
      <w:pPr>
        <w:pStyle w:val="Heading3"/>
        <w:keepNext/>
        <w:keepLines/>
      </w:pPr>
      <w:r>
        <w:t>3.1 Criterios de Selección</w:t>
      </w:r>
    </w:p>
    <w:p>
      <w:r>
        <w:rPr>
          <w:b/>
        </w:rPr>
        <w:t>Muestra Recomendada:</w:t>
      </w:r>
      <w:r/>
      <w:r>
        <w:br/>
        <w:t xml:space="preserve">- Para organizaciones </w:t>
      </w:r>
      <w:r>
        <w:rPr>
          <w:b/>
        </w:rPr>
        <w:t>&lt; 100 personas</w:t>
      </w:r>
      <w:r>
        <w:t>: 1 respondente mínimo</w:t>
      </w:r>
      <w:r/>
      <w:r>
        <w:br/>
        <w:t xml:space="preserve">- Para organizaciones </w:t>
      </w:r>
      <w:r>
        <w:rPr>
          <w:b/>
        </w:rPr>
        <w:t>100-500 personas</w:t>
      </w:r>
      <w:r>
        <w:t>: 3-5 respondentes</w:t>
      </w:r>
      <w:r/>
      <w:r>
        <w:br/>
        <w:t xml:space="preserve">- Para organizaciones </w:t>
      </w:r>
      <w:r>
        <w:rPr>
          <w:b/>
        </w:rPr>
        <w:t>&gt; 500 personas</w:t>
      </w:r>
      <w:r>
        <w:t>: 5-10 respondentes (multi-departamental)</w:t>
      </w:r>
    </w:p>
    <w:p>
      <w:r>
        <w:rPr>
          <w:b/>
        </w:rPr>
        <w:t>Departamentos Involucrados:</w:t>
      </w:r>
      <w:r/>
      <w:r>
        <w:br/>
        <w:t xml:space="preserve">1. </w:t>
      </w:r>
      <w:r>
        <w:rPr>
          <w:b/>
        </w:rPr>
        <w:t>Seguridad de TI / CISO (40% peso)</w:t>
      </w:r>
      <w:r>
        <w:t xml:space="preserve"> - Perspectiva técnica</w:t>
      </w:r>
      <w:r/>
      <w:r>
        <w:br/>
        <w:t xml:space="preserve">2. </w:t>
      </w:r>
      <w:r>
        <w:rPr>
          <w:b/>
        </w:rPr>
        <w:t>Cumplimiento / Legal (20% peso)</w:t>
      </w:r>
      <w:r>
        <w:t xml:space="preserve"> - Perspectiva regulatoria</w:t>
      </w:r>
      <w:r/>
      <w:r>
        <w:br/>
        <w:t xml:space="preserve">3. </w:t>
      </w:r>
      <w:r>
        <w:rPr>
          <w:b/>
        </w:rPr>
        <w:t>Auditoría Interna (20% peso)</w:t>
      </w:r>
      <w:r>
        <w:t xml:space="preserve"> - Perspectiva de control</w:t>
      </w:r>
      <w:r/>
      <w:r>
        <w:br/>
        <w:t xml:space="preserve">4. </w:t>
      </w:r>
      <w:r>
        <w:rPr>
          <w:b/>
        </w:rPr>
        <w:t>Dirección Ejecutiva (10% peso)</w:t>
      </w:r>
      <w:r>
        <w:t xml:space="preserve"> - Perspectiva de negocio</w:t>
      </w:r>
      <w:r/>
      <w:r>
        <w:br/>
        <w:t xml:space="preserve">5. </w:t>
      </w:r>
      <w:r>
        <w:rPr>
          <w:b/>
        </w:rPr>
        <w:t>Recursos Humanos (10% peso)</w:t>
      </w:r>
      <w:r>
        <w:t xml:space="preserve"> - Perspectiva de concienciación</w:t>
      </w:r>
    </w:p>
    <w:p>
      <w:pPr>
        <w:pStyle w:val="Heading3"/>
        <w:keepNext/>
        <w:keepLines/>
      </w:pPr>
      <w:r>
        <w:t>3.2 Método de Ponderación Multi-Departamental</w:t>
      </w:r>
    </w:p>
    <w:p>
      <w:r>
        <w:t>Si múltiples respondentes de diferentes áreas: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Puntuación Final = (CISO × 0,40) + (Cumplimiento × 0,20) + </w:t>
        <w:br/>
        <w:t xml:space="preserve">                   (Auditoría × 0,20) + (Ejecutiva × 0,10) + </w:t>
        <w:br/>
        <w:t xml:space="preserve">                   (RR.HH. × 0,10)</w:t>
        <w:br/>
      </w:r>
    </w:p>
    <w:p>
      <w:pPr>
        <w:pStyle w:val="Heading2"/>
        <w:keepNext/>
        <w:keepLines/>
      </w:pPr>
      <w:r>
        <w:rPr>
          <w:color w:val="0066CC"/>
        </w:rPr>
        <w:t>4. Proceso de Administración</w:t>
      </w:r>
    </w:p>
    <w:p>
      <w:pPr>
        <w:pStyle w:val="Heading3"/>
        <w:keepNext/>
        <w:keepLines/>
      </w:pPr>
      <w:r>
        <w:t>4.1 Pre-administración (Semana -2 a 0)</w:t>
      </w:r>
    </w:p>
    <w:p>
      <w:r>
        <w:rPr>
          <w:b/>
        </w:rPr>
        <w:t>Semana -2:</w:t>
      </w:r>
      <w:r/>
      <w:r>
        <w:br/>
        <w:t>1. Identificar respondentes clave</w:t>
      </w:r>
      <w:r/>
      <w:r>
        <w:br/>
        <w:t>2. Enviar invitación formal + contexto</w:t>
      </w:r>
      <w:r/>
      <w:r>
        <w:br/>
        <w:t>3. Proveer acceso a encuesta (digital)</w:t>
      </w:r>
    </w:p>
    <w:p>
      <w:r>
        <w:rPr>
          <w:b/>
        </w:rPr>
        <w:t>Semana -1:</w:t>
      </w:r>
      <w:r/>
      <w:r>
        <w:br/>
        <w:t>1. Recordatorio a respondentes</w:t>
      </w:r>
      <w:r/>
      <w:r>
        <w:br/>
        <w:t>2. Responder dudas sobre preguntas</w:t>
      </w:r>
      <w:r/>
      <w:r>
        <w:br/>
        <w:t>3. Verificar acceso técnico a plataforma</w:t>
      </w:r>
    </w:p>
    <w:p>
      <w:r>
        <w:rPr>
          <w:b/>
        </w:rPr>
        <w:t>Semana 0:</w:t>
      </w:r>
      <w:r/>
      <w:r>
        <w:br/>
        <w:t>1. Lanzar encuesta oficialmente</w:t>
      </w:r>
      <w:r/>
      <w:r>
        <w:br/>
        <w:t>2. Establecer fecha límite (2-3 semanas)</w:t>
      </w:r>
      <w:r/>
      <w:r>
        <w:br/>
        <w:t>3. Crear canal de comunicación para preguntas</w:t>
      </w:r>
    </w:p>
    <w:p>
      <w:pPr>
        <w:pStyle w:val="Heading3"/>
        <w:keepNext/>
        <w:keepLines/>
      </w:pPr>
      <w:r>
        <w:t>4.2 Durante Administración (Semana 1-3)</w:t>
      </w:r>
    </w:p>
    <w:p>
      <w:r>
        <w:rPr>
          <w:b/>
        </w:rPr>
        <w:t>Semana 1:</w:t>
      </w:r>
      <w:r/>
      <w:r>
        <w:br/>
        <w:t>- 40-50% de respuestas esperadas</w:t>
      </w:r>
      <w:r/>
      <w:r>
        <w:br/>
        <w:t>- Recordatorio gentil a falta de respuesta</w:t>
      </w:r>
    </w:p>
    <w:p>
      <w:r>
        <w:rPr>
          <w:b/>
        </w:rPr>
        <w:t>Semana 2:</w:t>
      </w:r>
      <w:r/>
      <w:r>
        <w:br/>
        <w:t>- 70-80% de respuestas esperadas</w:t>
      </w:r>
      <w:r/>
      <w:r>
        <w:br/>
        <w:t>- Recordatorio más formal a rezagados</w:t>
      </w:r>
    </w:p>
    <w:p>
      <w:r>
        <w:rPr>
          <w:b/>
        </w:rPr>
        <w:t>Semana 3:</w:t>
      </w:r>
      <w:r/>
      <w:r>
        <w:br/>
        <w:t>- Cierre de encuesta</w:t>
      </w:r>
      <w:r/>
      <w:r>
        <w:br/>
        <w:t>- Seguimiento telefónico si &lt; 90% respuesta</w:t>
      </w:r>
    </w:p>
    <w:p>
      <w:pPr>
        <w:pStyle w:val="Heading3"/>
        <w:keepNext/>
        <w:keepLines/>
      </w:pPr>
      <w:r>
        <w:t>4.3 Post-administración (Semana 4+)</w:t>
      </w:r>
    </w:p>
    <w:p>
      <w:pPr>
        <w:pStyle w:val="ListNumber"/>
        <w:keepLines w:val="1"/>
        <w:keepNext w:val="1"/>
        <w:widowControl w:val="1"/>
      </w:pPr>
      <w:r>
        <w:t>Consolidación de datos (2-3 días)</w:t>
      </w:r>
    </w:p>
    <w:p>
      <w:pPr>
        <w:pStyle w:val="ListNumber"/>
        <w:keepLines w:val="1"/>
        <w:keepNext w:val="1"/>
        <w:widowControl w:val="1"/>
      </w:pPr>
      <w:r>
        <w:t>Análisis estadístico (1 semana)</w:t>
      </w:r>
    </w:p>
    <w:p>
      <w:pPr>
        <w:pStyle w:val="ListNumber"/>
        <w:keepLines w:val="1"/>
        <w:keepNext w:val="1"/>
        <w:widowControl w:val="1"/>
      </w:pPr>
      <w:r>
        <w:t>Elaboración de reporte (1-2 semanas)</w:t>
      </w:r>
    </w:p>
    <w:p>
      <w:pPr>
        <w:pStyle w:val="ListNumber"/>
        <w:keepLines w:val="1"/>
        <w:widowControl w:val="1"/>
      </w:pPr>
      <w:r>
        <w:t>Presentación a stakeholders (semana 4)</w:t>
      </w:r>
    </w:p>
    <w:p>
      <w:pPr>
        <w:pStyle w:val="Heading2"/>
        <w:keepNext/>
        <w:keepLines/>
      </w:pPr>
      <w:r>
        <w:rPr>
          <w:color w:val="0066CC"/>
        </w:rPr>
        <w:t>5. Interpretación de Respuestas</w:t>
      </w:r>
    </w:p>
    <w:p>
      <w:pPr>
        <w:pStyle w:val="Heading3"/>
        <w:keepNext/>
        <w:keepLines/>
      </w:pPr>
      <w:r>
        <w:t>5.1 Esquema de Puntuación por Pregunta</w:t>
      </w:r>
    </w:p>
    <w:p>
      <w:r>
        <w:t>Cada pregunta tiene 5-6 opciones que mapean a niveles de madurez NIST: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Madurez NIST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Caracterización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 (Peor)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Inexistente/Parcial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Ad-hoc, informal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Informado por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iniciales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Repetible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estandarizados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Adaptativo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mejorados continuamente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5 (Mejor)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Mejora continua automática</w:t>
            </w:r>
          </w:p>
        </w:tc>
      </w:tr>
    </w:tbl>
    <w:p/>
    <w:p>
      <w:pPr>
        <w:pStyle w:val="Heading3"/>
        <w:keepNext/>
        <w:keepLines/>
      </w:pPr>
      <w:r>
        <w:t>5.2 Interpretación Cualitativa de Respuestas</w:t>
      </w:r>
    </w:p>
    <w:p>
      <w:r>
        <w:rPr>
          <w:b/>
        </w:rPr>
        <w:t>Sección II (Marco Organizativo):</w:t>
      </w:r>
      <w:r/>
      <w:r>
        <w:br/>
        <w:t>- Puntuación 1-2 → Riesgo de gobernanza alta</w:t>
      </w:r>
      <w:r/>
      <w:r>
        <w:br/>
        <w:t>- Puntuación 3 → Gobernanza básica establecida</w:t>
      </w:r>
      <w:r/>
      <w:r>
        <w:br/>
        <w:t>- Puntuación 4-5 → Gobernanza madura</w:t>
      </w:r>
    </w:p>
    <w:p>
      <w:r>
        <w:rPr>
          <w:b/>
        </w:rPr>
        <w:t>Sección III (Marco Operacional):</w:t>
      </w:r>
      <w:r/>
      <w:r>
        <w:br/>
        <w:t>- Puntuación 1-2 → Operaciones caóticas</w:t>
      </w:r>
      <w:r/>
      <w:r>
        <w:br/>
        <w:t>- Puntuación 3 → Operaciones documentadas</w:t>
      </w:r>
      <w:r/>
      <w:r>
        <w:br/>
        <w:t>- Puntuación 4-5 → Operaciones optimizadas</w:t>
      </w:r>
    </w:p>
    <w:p>
      <w:r>
        <w:rPr>
          <w:b/>
        </w:rPr>
        <w:t>Sección VI (Penetración Testing):</w:t>
      </w:r>
      <w:r/>
      <w:r>
        <w:br/>
        <w:t>- Ausencia de pruebas → Vulnerabilidades desconocidas</w:t>
      </w:r>
      <w:r/>
      <w:r>
        <w:br/>
        <w:t>- Anual → Cumplimiento mínimo</w:t>
      </w:r>
      <w:r/>
      <w:r>
        <w:br/>
        <w:t>- Trimestral+ → Vigilancia continua</w:t>
      </w:r>
    </w:p>
    <w:p>
      <w:pPr>
        <w:pStyle w:val="Heading2"/>
        <w:keepNext/>
        <w:keepLines/>
      </w:pPr>
      <w:r>
        <w:rPr>
          <w:color w:val="0066CC"/>
        </w:rPr>
        <w:t>6. Cálculo del IGM (Índice de Gestión de Madurez)</w:t>
      </w:r>
    </w:p>
    <w:p>
      <w:pPr>
        <w:pStyle w:val="Heading3"/>
        <w:keepNext/>
        <w:keepLines/>
      </w:pPr>
      <w:r>
        <w:t>6.1 Fórmula Base del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Σ(Puntuación_pregunta × Peso_pregunta) / Σ(Pesos)</w:t>
        <w:br/>
        <w:br/>
        <w:t>Escala: 1.0 - 5.0 (donde 5.0 es excelencia total)</w:t>
        <w:br/>
      </w:r>
    </w:p>
    <w:p>
      <w:pPr>
        <w:pStyle w:val="Heading3"/>
        <w:keepNext/>
        <w:keepLines/>
      </w:pPr>
      <w:r>
        <w:t>6.2 Asignación de Pesos por Dominio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P6-P16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 de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P17-P35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Ejecución diaria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P36-P50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 técnica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P46-P68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Resiliencia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P79-P94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Factor humano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P95-P104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Control y cumplimiento</w:t>
            </w:r>
          </w:p>
        </w:tc>
      </w:tr>
    </w:tbl>
    <w:p/>
    <w:p>
      <w:pPr>
        <w:pStyle w:val="Heading3"/>
        <w:keepNext/>
        <w:keepLines/>
      </w:pPr>
      <w:r>
        <w:t>6.3 Cálculo Paso a Paso</w:t>
      </w:r>
    </w:p>
    <w:p>
      <w:r>
        <w:rPr>
          <w:b/>
        </w:rPr>
        <w:t>Ejemplo Organizacional: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 | Respuesta | Puntos | Peso | Contribución</w:t>
        <w:br/>
        <w:t>---------|-----------|--------|------|---------------</w:t>
        <w:br/>
        <w:t>P6 (Política) | 4 | 4,0 | 0,05 | 0,20</w:t>
        <w:br/>
        <w:t>P7 (Objetivos) | 3 | 3,0 | 0,05 | 0,15</w:t>
        <w:br/>
        <w:t>P8 (Comunicación) | 2 | 2,0 | 0,05 | 0,10</w:t>
        <w:br/>
        <w:t>...</w:t>
        <w:br/>
        <w:t>P114 (Tech Emergentes) | 3 | 3,0 | 0,01 | 0,03</w:t>
        <w:br/>
        <w:br/>
        <w:t>IGM = (0,20 + 0,15 + 0,10 + ... + 0,03) = 3,47</w:t>
        <w:br/>
      </w:r>
    </w:p>
    <w:p>
      <w:pPr>
        <w:pStyle w:val="Heading3"/>
        <w:keepNext/>
        <w:keepLines/>
      </w:pPr>
      <w:r>
        <w:t>6.4 Benchmarks e Interpretación del IGM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1,0 - 1,9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extremo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Intervención inmediata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2,0 - 2,9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Insuficiente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alto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mejora acelerado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3,0 - 3,4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Básico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maduración 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3,5 - 4,2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Avanzado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bajo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Consolidación y optimización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4,3 - 5,0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Excelencia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Riesgo mínimo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Liderazgo sectorial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7. Análisis Estadístico</w:t>
      </w:r>
    </w:p>
    <w:p>
      <w:pPr>
        <w:pStyle w:val="Heading3"/>
        <w:keepNext/>
        <w:keepLines/>
      </w:pPr>
      <w:r>
        <w:t>7.1 Medidas de Dispersión</w:t>
      </w:r>
    </w:p>
    <w:p>
      <w:r>
        <w:rPr>
          <w:b/>
        </w:rPr>
        <w:t>Desviación Estándar: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σ = √[Σ(x - media)² / N]</w:t>
        <w:br/>
      </w:r>
    </w:p>
    <w:p>
      <w:r>
        <w:t>Si σ &gt; 1,0 → Respuestas inconsistentes entre departamentos</w:t>
      </w:r>
    </w:p>
    <w:p>
      <w:r>
        <w:rPr>
          <w:b/>
        </w:rPr>
        <w:t>Rango Intercuartílico (IQR):</w:t>
      </w:r>
      <w:r/>
      <w:r>
        <w:br/>
        <w:t>Identifica outliers en respuestas por pregunta</w:t>
      </w:r>
    </w:p>
    <w:p>
      <w:pPr>
        <w:pStyle w:val="Heading3"/>
        <w:keepNext/>
        <w:keepLines/>
      </w:pPr>
      <w:r>
        <w:t>7.2 Análisis de Correlación</w:t>
      </w:r>
    </w:p>
    <w:p>
      <w:r>
        <w:t>Preguntas a correlacionar:</w:t>
      </w:r>
      <w:r/>
      <w:r>
        <w:br/>
        <w:t xml:space="preserve">- </w:t>
      </w:r>
      <w:r>
        <w:rPr>
          <w:b/>
        </w:rPr>
        <w:t>P46 (Procedimiento incidentes) vs P47 (MTTD):</w:t>
      </w:r>
      <w:r>
        <w:t xml:space="preserve"> Relación entre documentación y capacidad</w:t>
      </w:r>
      <w:r/>
      <w:r>
        <w:br/>
        <w:t xml:space="preserve">- </w:t>
      </w:r>
      <w:r>
        <w:rPr>
          <w:b/>
        </w:rPr>
        <w:t>P79 (Capacitación) vs P88 (Cambio comportamiento):</w:t>
      </w:r>
      <w:r>
        <w:t xml:space="preserve"> Efectividad de concienciación</w:t>
      </w:r>
      <w:r/>
      <w:r>
        <w:br/>
        <w:t xml:space="preserve">- </w:t>
      </w:r>
      <w:r>
        <w:rPr>
          <w:b/>
        </w:rPr>
        <w:t>P105 (Gasto) vs IGM:</w:t>
      </w:r>
      <w:r>
        <w:t xml:space="preserve"> ¿Gasto = Madurez? (esperado: correlación positiva moderada)</w:t>
      </w:r>
    </w:p>
    <w:p>
      <w:pPr>
        <w:pStyle w:val="Heading3"/>
        <w:keepNext/>
        <w:keepLines/>
      </w:pPr>
      <w:r>
        <w:t>7.3 Análisis de Brecha (Gap Analysis)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Brecha_dominio = IGM_objetivo (4,0) - IGM_actual</w:t>
        <w:br/>
        <w:br/>
        <w:t>Ejemplo: Si IGM = 3,1 actual, brecha = 0,9 puntos</w:t>
        <w:br/>
        <w:t>Esto requiere inversión / plan de mejora</w:t>
        <w:br/>
      </w:r>
    </w:p>
    <w:p>
      <w:pPr>
        <w:pStyle w:val="Heading2"/>
        <w:keepNext/>
        <w:keepLines/>
      </w:pPr>
      <w:r>
        <w:rPr>
          <w:color w:val="0066CC"/>
        </w:rPr>
        <w:t>8. Gestión de Riesgos en Aplicación</w:t>
      </w:r>
    </w:p>
    <w:p>
      <w:pPr>
        <w:pStyle w:val="Heading3"/>
        <w:keepNext/>
        <w:keepLines/>
      </w:pPr>
      <w:r>
        <w:t>8.1 Sesgos Potenciales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Sesgo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Causa Probable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Sobrevaloración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Auto-reporte optimista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con auditoría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Infravaloración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Temor a crítica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Confidencialidad garantizada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Falta de conocimiento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Respondente desconoce área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Múltiples respondentes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Respuestas rápidas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Falta de reflexión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Recordatorio de completitud</w:t>
            </w:r>
          </w:p>
        </w:tc>
      </w:tr>
    </w:tbl>
    <w:p/>
    <w:p>
      <w:pPr>
        <w:pStyle w:val="Heading3"/>
        <w:keepNext/>
        <w:keepLines/>
      </w:pPr>
      <w:r>
        <w:t>8.2 Validación de Respuestas</w:t>
      </w:r>
    </w:p>
    <w:p>
      <w:r>
        <w:rPr>
          <w:b/>
        </w:rPr>
        <w:t>Cross-checks internos:</w:t>
      </w:r>
      <w:r/>
      <w:r>
        <w:br/>
        <w:t>1. Si P17 (Plan seguridad) = 1, pero P79 (Capacitación) = 5 → Inconsistencia → Investigar</w:t>
      </w:r>
      <w:r/>
      <w:r>
        <w:br/>
        <w:t>2. Si P69 (SIEM) = 1, pero P47 (MTTD) &lt; 24h → Inconsistencia → Investigar</w:t>
      </w:r>
    </w:p>
    <w:p>
      <w:r>
        <w:rPr>
          <w:b/>
        </w:rPr>
        <w:t>Validación externa:</w:t>
      </w:r>
      <w:r/>
      <w:r>
        <w:br/>
        <w:t>- Comparar contra hallazgos de auditoría reciente</w:t>
      </w:r>
      <w:r/>
      <w:r>
        <w:br/>
        <w:t>- Verificar contra políticas documentadas</w:t>
      </w:r>
    </w:p>
    <w:p>
      <w:pPr>
        <w:pStyle w:val="Heading2"/>
        <w:keepNext/>
        <w:keepLines/>
      </w:pPr>
      <w:r>
        <w:rPr>
          <w:color w:val="0066CC"/>
        </w:rPr>
        <w:t>9. Confidencialidad y Governance</w:t>
      </w:r>
    </w:p>
    <w:p>
      <w:pPr>
        <w:pStyle w:val="Heading3"/>
        <w:keepNext/>
        <w:keepLines/>
      </w:pPr>
      <w:r>
        <w:t>9.1 Protección de Datos</w:t>
      </w:r>
    </w:p>
    <w:p>
      <w:pPr>
        <w:pStyle w:val="ListBullet"/>
        <w:keepLines w:val="1"/>
        <w:keepNext w:val="1"/>
        <w:widowControl w:val="1"/>
      </w:pPr>
      <w:r>
        <w:t>Encuesta anónima (identificador de organización, no de individuo)</w:t>
      </w:r>
    </w:p>
    <w:p>
      <w:pPr>
        <w:pStyle w:val="ListBullet"/>
        <w:keepLines w:val="1"/>
        <w:keepNext w:val="1"/>
        <w:widowControl w:val="1"/>
      </w:pPr>
      <w:r>
        <w:t>Transmisión cifrada (HTTPS, encriptación TLS 1.3+)</w:t>
      </w:r>
    </w:p>
    <w:p>
      <w:pPr>
        <w:pStyle w:val="ListBullet"/>
        <w:keepLines w:val="1"/>
        <w:keepNext w:val="1"/>
        <w:widowControl w:val="1"/>
      </w:pPr>
      <w:r>
        <w:t>Almacenamiento seguro (base de datos con acceso restringido)</w:t>
      </w:r>
    </w:p>
    <w:p>
      <w:pPr>
        <w:pStyle w:val="ListBullet"/>
        <w:keepLines w:val="1"/>
        <w:widowControl w:val="1"/>
      </w:pPr>
      <w:r>
        <w:t>Retención limitada (destrucción después de análisis, máx. 2 años)</w:t>
      </w:r>
    </w:p>
    <w:p>
      <w:pPr>
        <w:pStyle w:val="Heading3"/>
        <w:keepNext/>
        <w:keepLines/>
      </w:pPr>
      <w:r>
        <w:t>9.2 Consenso de Consentimiento</w:t>
      </w:r>
    </w:p>
    <w:p>
      <w:r>
        <w:t>Obtener autorización firmada de:</w:t>
      </w:r>
      <w:r/>
      <w:r>
        <w:br/>
        <w:t>- [ ] CISO/Responsable de Seguridad</w:t>
      </w:r>
      <w:r/>
      <w:r>
        <w:br/>
        <w:t>- [ ] Cumplimiento/Legal</w:t>
      </w:r>
      <w:r/>
      <w:r>
        <w:br/>
        <w:t>- [ ] DPO (si organización &gt; 100 personas)</w:t>
      </w:r>
    </w:p>
    <w:p>
      <w:pPr>
        <w:pStyle w:val="Heading2"/>
        <w:keepNext/>
        <w:keepLines/>
      </w:pPr>
      <w:r>
        <w:rPr>
          <w:color w:val="0066CC"/>
        </w:rPr>
        <w:t>10. Cronograma Recomendado</w:t>
      </w:r>
    </w:p>
    <w:p>
      <w:pPr>
        <w:pStyle w:val="Heading3"/>
        <w:keepNext/>
        <w:keepLines/>
      </w:pPr>
      <w:r>
        <w:t>Ciclo Anual Sugerido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Mes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Enero-Febrero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Planificación, selección de muestra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Marzo-Abril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Administración de encuesta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Mayo-Junio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Análisis, elaboración de reporte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Julio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Presentación de hallazgos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Agosto-Septiembre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Planificación de mejoras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Octubre-Diciembre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Implementación de mejoras identificadas</w:t>
            </w:r>
          </w:p>
        </w:tc>
      </w:tr>
    </w:tbl>
    <w:p/>
    <w:p>
      <w:pPr>
        <w:pStyle w:val="Heading3"/>
        <w:keepNext/>
        <w:keepLines/>
      </w:pPr>
      <w:r>
        <w:t>Cadencia de Encuesta</w:t>
      </w:r>
    </w:p>
    <w:p>
      <w:pPr>
        <w:pStyle w:val="ListBullet"/>
        <w:keepLines w:val="1"/>
        <w:keepNext w:val="1"/>
        <w:widowControl w:val="1"/>
      </w:pPr>
      <w:r>
        <w:t>Inicial: Línea base (Año 1)</w:t>
      </w:r>
    </w:p>
    <w:p>
      <w:pPr>
        <w:pStyle w:val="ListBullet"/>
        <w:keepLines w:val="1"/>
        <w:keepNext w:val="1"/>
        <w:widowControl w:val="1"/>
      </w:pPr>
      <w:r>
        <w:t>Anual: Reencuesta completa (Año 2+)</w:t>
      </w:r>
    </w:p>
    <w:p>
      <w:pPr>
        <w:pStyle w:val="ListBullet"/>
        <w:keepLines w:val="1"/>
        <w:widowControl w:val="1"/>
      </w:pPr>
      <w:r>
        <w:t>Trimestral: Mini-encuesta de seguimiento (preguntas clave)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Esta guía metodológica asegura </w:t>
      </w:r>
      <w:r>
        <w:rPr>
          <w:b/>
        </w:rPr>
        <w:t>consistencia</w:t>
      </w:r>
      <w:r>
        <w:t xml:space="preserve">, </w:t>
      </w:r>
      <w:r>
        <w:rPr>
          <w:b/>
        </w:rPr>
        <w:t>rigor</w:t>
      </w:r>
      <w:r>
        <w:t xml:space="preserve"> y </w:t>
      </w:r>
      <w:r>
        <w:rPr>
          <w:b/>
        </w:rPr>
        <w:t>comparabilidad</w:t>
      </w:r>
      <w:r>
        <w:t xml:space="preserve"> en la aplicación de la encuesta integral de ciberseguridad. El enfoque GQM garantiza vinculación directa entre preguntas operacionales y objetivos estratégicos de seguridad.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