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GRC de Ciberseguridad en España (2026)</w:t>
      </w:r>
    </w:p>
    <w:p>
      <w:r>
        <w:t>Versión 1.0 – Borrador para validación por CISOs, responsables de riesgo y cumplimiento.</w:t>
      </w:r>
      <w:r/>
      <w:r>
        <w:br/>
        <w:t>Ámbito: organizaciones públicas y privadas con operación en España.</w:t>
      </w:r>
    </w:p>
    <w:p>
      <w:pPr>
        <w:pStyle w:val="Heading2"/>
        <w:keepNext/>
        <w:keepLines/>
      </w:pPr>
      <w:r>
        <w:rPr>
          <w:color w:val="0066CC"/>
        </w:rPr>
        <w:t>0. Información general de la organización</w:t>
      </w:r>
    </w:p>
    <w:p>
      <w:r>
        <w:rPr>
          <w:b/>
        </w:rPr>
        <w:t>0.1. Tipo de organización</w:t>
      </w:r>
    </w:p>
    <w:p>
      <w:pPr>
        <w:pStyle w:val="ListBullet"/>
        <w:keepLines w:val="1"/>
        <w:keepNext w:val="1"/>
        <w:widowControl w:val="1"/>
      </w:pPr>
      <w:r>
        <w:t xml:space="preserve">[ ] Administración pública (AGE, CCAA, EELL)  </w:t>
      </w:r>
    </w:p>
    <w:p>
      <w:pPr>
        <w:pStyle w:val="ListBullet"/>
        <w:keepLines w:val="1"/>
        <w:keepNext w:val="1"/>
        <w:widowControl w:val="1"/>
      </w:pPr>
      <w:r>
        <w:t xml:space="preserve">[ ] Empresa pública  </w:t>
      </w:r>
    </w:p>
    <w:p>
      <w:pPr>
        <w:pStyle w:val="ListBullet"/>
        <w:keepLines w:val="1"/>
        <w:keepNext w:val="1"/>
        <w:widowControl w:val="1"/>
      </w:pPr>
      <w:r>
        <w:t xml:space="preserve">[ ] Empresa privada – gran empresa (≥ 250 empleados)  </w:t>
      </w:r>
    </w:p>
    <w:p>
      <w:pPr>
        <w:pStyle w:val="ListBullet"/>
        <w:keepLines w:val="1"/>
        <w:keepNext w:val="1"/>
        <w:widowControl w:val="1"/>
      </w:pPr>
      <w:r>
        <w:t xml:space="preserve">[ ] Empresa privada – pyme (&lt; 250 empleados)  </w:t>
      </w:r>
    </w:p>
    <w:p>
      <w:pPr>
        <w:pStyle w:val="ListBullet"/>
        <w:keepLines w:val="1"/>
        <w:keepNext w:val="1"/>
        <w:widowControl w:val="1"/>
      </w:pPr>
      <w:r>
        <w:t xml:space="preserve">[ ] Operador de servicios esenciales / entidad importante (NIS2)  </w:t>
      </w:r>
    </w:p>
    <w:p>
      <w:pPr>
        <w:pStyle w:val="ListBullet"/>
        <w:keepLines w:val="1"/>
        <w:keepNext w:val="1"/>
        <w:widowControl w:val="1"/>
      </w:pPr>
      <w:r>
        <w:t xml:space="preserve">[ ] Entidad regulada financiera (DORA)  </w:t>
      </w:r>
    </w:p>
    <w:p>
      <w:pPr>
        <w:pStyle w:val="ListBullet"/>
        <w:keepLines w:val="1"/>
        <w:widowControl w:val="1"/>
      </w:pPr>
      <w:r>
        <w:t>[ ] Otra (especificar): _____</w:t>
      </w:r>
    </w:p>
    <w:p>
      <w:r>
        <w:rPr>
          <w:b/>
        </w:rPr>
        <w:t>0.2. Sector principal de actividad</w:t>
      </w:r>
    </w:p>
    <w:p>
      <w:pPr>
        <w:pStyle w:val="ListBullet"/>
        <w:keepLines w:val="1"/>
        <w:keepNext w:val="1"/>
        <w:widowControl w:val="1"/>
      </w:pPr>
      <w:r>
        <w:t xml:space="preserve">[ ] Energía  </w:t>
      </w:r>
    </w:p>
    <w:p>
      <w:pPr>
        <w:pStyle w:val="ListBullet"/>
        <w:keepLines w:val="1"/>
        <w:keepNext w:val="1"/>
        <w:widowControl w:val="1"/>
      </w:pPr>
      <w:r>
        <w:t xml:space="preserve">[ ] Agua  </w:t>
      </w:r>
    </w:p>
    <w:p>
      <w:pPr>
        <w:pStyle w:val="ListBullet"/>
        <w:keepLines w:val="1"/>
        <w:keepNext w:val="1"/>
        <w:widowControl w:val="1"/>
      </w:pPr>
      <w:r>
        <w:t xml:space="preserve">[ ] Transporte  </w:t>
      </w:r>
    </w:p>
    <w:p>
      <w:pPr>
        <w:pStyle w:val="ListBullet"/>
        <w:keepLines w:val="1"/>
        <w:keepNext w:val="1"/>
        <w:widowControl w:val="1"/>
      </w:pPr>
      <w:r>
        <w:t xml:space="preserve">[ ] Salud  </w:t>
      </w:r>
    </w:p>
    <w:p>
      <w:pPr>
        <w:pStyle w:val="ListBullet"/>
        <w:keepLines w:val="1"/>
        <w:keepNext w:val="1"/>
        <w:widowControl w:val="1"/>
      </w:pPr>
      <w:r>
        <w:t xml:space="preserve">[ ] Finanzas / seguros  </w:t>
      </w:r>
    </w:p>
    <w:p>
      <w:pPr>
        <w:pStyle w:val="ListBullet"/>
        <w:keepLines w:val="1"/>
        <w:keepNext w:val="1"/>
        <w:widowControl w:val="1"/>
      </w:pPr>
      <w:r>
        <w:t xml:space="preserve">[ ] TIC / servicios digitales  </w:t>
      </w:r>
    </w:p>
    <w:p>
      <w:pPr>
        <w:pStyle w:val="ListBullet"/>
        <w:keepLines w:val="1"/>
        <w:keepNext w:val="1"/>
        <w:widowControl w:val="1"/>
      </w:pPr>
      <w:r>
        <w:t xml:space="preserve">[ ] Industria / manufactura  </w:t>
      </w:r>
    </w:p>
    <w:p>
      <w:pPr>
        <w:pStyle w:val="ListBullet"/>
        <w:keepLines w:val="1"/>
        <w:keepNext w:val="1"/>
        <w:widowControl w:val="1"/>
      </w:pPr>
      <w:r>
        <w:t xml:space="preserve">[ ] Administración / servicios públicos  </w:t>
      </w:r>
    </w:p>
    <w:p>
      <w:pPr>
        <w:pStyle w:val="ListBullet"/>
        <w:keepLines w:val="1"/>
        <w:keepNext w:val="1"/>
        <w:widowControl w:val="1"/>
      </w:pPr>
      <w:r>
        <w:t xml:space="preserve">[ ] Educación / investigación  </w:t>
      </w:r>
    </w:p>
    <w:p>
      <w:pPr>
        <w:pStyle w:val="ListBullet"/>
        <w:keepLines w:val="1"/>
        <w:widowControl w:val="1"/>
      </w:pPr>
      <w:r>
        <w:t>[ ] Otro (especificar): _____</w:t>
      </w:r>
    </w:p>
    <w:p>
      <w:r>
        <w:rPr>
          <w:b/>
        </w:rPr>
        <w:t>0.3. Tamaño aproximado (empleados)</w:t>
      </w:r>
    </w:p>
    <w:p>
      <w:pPr>
        <w:pStyle w:val="ListBullet"/>
        <w:keepLines w:val="1"/>
        <w:keepNext w:val="1"/>
        <w:widowControl w:val="1"/>
      </w:pPr>
      <w:r>
        <w:t xml:space="preserve">[ ] &lt; 50  </w:t>
      </w:r>
    </w:p>
    <w:p>
      <w:pPr>
        <w:pStyle w:val="ListBullet"/>
        <w:keepLines w:val="1"/>
        <w:keepNext w:val="1"/>
        <w:widowControl w:val="1"/>
      </w:pPr>
      <w:r>
        <w:t xml:space="preserve">[ ] 50–249  </w:t>
      </w:r>
    </w:p>
    <w:p>
      <w:pPr>
        <w:pStyle w:val="ListBullet"/>
        <w:keepLines w:val="1"/>
        <w:keepNext w:val="1"/>
        <w:widowControl w:val="1"/>
      </w:pPr>
      <w:r>
        <w:t xml:space="preserve">[ ] 250–999  </w:t>
      </w:r>
    </w:p>
    <w:p>
      <w:pPr>
        <w:pStyle w:val="ListBullet"/>
        <w:keepLines w:val="1"/>
        <w:keepNext w:val="1"/>
        <w:widowControl w:val="1"/>
      </w:pPr>
      <w:r>
        <w:t xml:space="preserve">[ ] 1.000–4.999  </w:t>
      </w:r>
    </w:p>
    <w:p>
      <w:pPr>
        <w:pStyle w:val="ListBullet"/>
        <w:keepLines w:val="1"/>
        <w:widowControl w:val="1"/>
      </w:pPr>
      <w:r>
        <w:t xml:space="preserve">[ ] ≥ 5.000  </w:t>
      </w:r>
    </w:p>
    <w:p>
      <w:r>
        <w:rPr>
          <w:b/>
        </w:rPr>
        <w:t>0.4. Persona que responde</w:t>
      </w:r>
    </w:p>
    <w:p>
      <w:pPr>
        <w:pStyle w:val="ListBullet"/>
        <w:keepLines w:val="1"/>
        <w:keepNext w:val="1"/>
        <w:widowControl w:val="1"/>
      </w:pPr>
      <w:r>
        <w:t xml:space="preserve">Cargo: _____  </w:t>
      </w:r>
    </w:p>
    <w:p>
      <w:pPr>
        <w:pStyle w:val="ListBullet"/>
        <w:keepLines w:val="1"/>
        <w:keepNext w:val="1"/>
        <w:widowControl w:val="1"/>
      </w:pPr>
      <w:r>
        <w:t xml:space="preserve">Área:  </w:t>
      </w:r>
    </w:p>
    <w:p>
      <w:pPr>
        <w:pStyle w:val="ListBullet"/>
        <w:keepLines w:val="1"/>
        <w:keepNext w:val="1"/>
        <w:widowControl w:val="1"/>
      </w:pPr>
      <w:r>
        <w:t xml:space="preserve">[ ] Dirección general  </w:t>
      </w:r>
    </w:p>
    <w:p>
      <w:pPr>
        <w:pStyle w:val="ListBullet"/>
        <w:keepLines w:val="1"/>
        <w:keepNext w:val="1"/>
        <w:widowControl w:val="1"/>
      </w:pPr>
      <w:r>
        <w:t xml:space="preserve">[ ] Seguridad / CISO  </w:t>
      </w:r>
    </w:p>
    <w:p>
      <w:pPr>
        <w:pStyle w:val="ListBullet"/>
        <w:keepLines w:val="1"/>
        <w:keepNext w:val="1"/>
        <w:widowControl w:val="1"/>
      </w:pPr>
      <w:r>
        <w:t xml:space="preserve">[ ] TI / CTO / CIO  </w:t>
      </w:r>
    </w:p>
    <w:p>
      <w:pPr>
        <w:pStyle w:val="ListBullet"/>
        <w:keepLines w:val="1"/>
        <w:keepNext w:val="1"/>
        <w:widowControl w:val="1"/>
      </w:pPr>
      <w:r>
        <w:t xml:space="preserve">[ ] Riesgos / cumplimiento  </w:t>
      </w:r>
    </w:p>
    <w:p>
      <w:pPr>
        <w:pStyle w:val="ListBullet"/>
        <w:keepLines w:val="1"/>
        <w:keepNext w:val="1"/>
        <w:widowControl w:val="1"/>
      </w:pPr>
      <w:r>
        <w:t xml:space="preserve">[ ] Auditoría interna  </w:t>
      </w:r>
    </w:p>
    <w:p>
      <w:pPr>
        <w:pStyle w:val="ListBullet"/>
        <w:keepLines w:val="1"/>
        <w:widowControl w:val="1"/>
      </w:pPr>
      <w:r>
        <w:t>[ ] Otra (especificar): _____</w:t>
      </w:r>
    </w:p>
    <w:p>
      <w:pPr>
        <w:pStyle w:val="Heading2"/>
        <w:keepNext/>
        <w:keepLines/>
      </w:pPr>
      <w:r>
        <w:rPr>
          <w:color w:val="0066CC"/>
        </w:rPr>
        <w:t>1. Gobernanza de la ciberseguridad</w:t>
      </w:r>
    </w:p>
    <w:p>
      <w:pPr>
        <w:pStyle w:val="Heading3"/>
        <w:keepNext/>
        <w:keepLines/>
      </w:pPr>
      <w:r>
        <w:t>1.1. Estrategia y modelo de gobierno</w:t>
      </w:r>
    </w:p>
    <w:p>
      <w:r>
        <w:rPr>
          <w:b/>
        </w:rPr>
        <w:t>P1.1.1. ¿La organización dispone de una estrategia formal de ciberseguridad aprobada por el máximo órgano de gobierno?</w:t>
      </w:r>
    </w:p>
    <w:p>
      <w:pPr>
        <w:pStyle w:val="ListBullet"/>
        <w:keepLines w:val="1"/>
        <w:keepNext w:val="1"/>
        <w:widowControl w:val="1"/>
      </w:pPr>
      <w:r>
        <w:t xml:space="preserve">[ ] No existe  </w:t>
      </w:r>
    </w:p>
    <w:p>
      <w:pPr>
        <w:pStyle w:val="ListBullet"/>
        <w:keepLines w:val="1"/>
        <w:keepNext w:val="1"/>
        <w:widowControl w:val="1"/>
      </w:pPr>
      <w:r>
        <w:t xml:space="preserve">[ ] Existe de facto, pero no está formalmente aprobada  </w:t>
      </w:r>
    </w:p>
    <w:p>
      <w:pPr>
        <w:pStyle w:val="ListBullet"/>
        <w:keepLines w:val="1"/>
        <w:keepNext w:val="1"/>
        <w:widowControl w:val="1"/>
      </w:pPr>
      <w:r>
        <w:t xml:space="preserve">[ ] Aprobada hace más de 3 años, no revisada  </w:t>
      </w:r>
    </w:p>
    <w:p>
      <w:pPr>
        <w:pStyle w:val="ListBullet"/>
        <w:keepLines w:val="1"/>
        <w:keepNext w:val="1"/>
        <w:widowControl w:val="1"/>
      </w:pPr>
      <w:r>
        <w:t xml:space="preserve">[ ] Aprobada en los últimos 3 años, sin revisiones periódicas definidas  </w:t>
      </w:r>
    </w:p>
    <w:p>
      <w:pPr>
        <w:pStyle w:val="ListBullet"/>
        <w:keepLines w:val="1"/>
        <w:widowControl w:val="1"/>
      </w:pPr>
      <w:r>
        <w:t>[ ] Aprobada y revisada con una frecuencia mínima anual, con actas y evidencias</w:t>
      </w:r>
    </w:p>
    <w:p>
      <w:r>
        <w:rPr>
          <w:b/>
        </w:rPr>
        <w:t>P1.1.2. La estrategia de ciberseguridad está alineada explícitamente con:</w:t>
      </w:r>
    </w:p>
    <w:p>
      <w:r>
        <w:t>(Seleccione todas las que apliquen)</w:t>
      </w:r>
    </w:p>
    <w:p>
      <w:pPr>
        <w:pStyle w:val="ListBullet"/>
        <w:keepLines w:val="1"/>
        <w:keepNext w:val="1"/>
        <w:widowControl w:val="1"/>
      </w:pPr>
      <w:r>
        <w:t xml:space="preserve">[ ] Estrategia global de negocio  </w:t>
      </w:r>
    </w:p>
    <w:p>
      <w:pPr>
        <w:pStyle w:val="ListBullet"/>
        <w:keepLines w:val="1"/>
        <w:keepNext w:val="1"/>
        <w:widowControl w:val="1"/>
      </w:pPr>
      <w:r>
        <w:t xml:space="preserve">[ ] Estrategia digital / transformación digital  </w:t>
      </w:r>
    </w:p>
    <w:p>
      <w:pPr>
        <w:pStyle w:val="ListBullet"/>
        <w:keepLines w:val="1"/>
        <w:keepNext w:val="1"/>
        <w:widowControl w:val="1"/>
      </w:pPr>
      <w:r>
        <w:t xml:space="preserve">[ ] Estrategia de gestión de riesgos corporativos (ERM)  </w:t>
      </w:r>
    </w:p>
    <w:p>
      <w:pPr>
        <w:pStyle w:val="ListBullet"/>
        <w:keepLines w:val="1"/>
        <w:keepNext w:val="1"/>
        <w:widowControl w:val="1"/>
      </w:pPr>
      <w:r>
        <w:t xml:space="preserve">[ ] Estrategia de continuidad de negocio y resiliencia  </w:t>
      </w:r>
    </w:p>
    <w:p>
      <w:pPr>
        <w:pStyle w:val="ListBullet"/>
        <w:keepLines w:val="1"/>
        <w:keepNext w:val="1"/>
        <w:widowControl w:val="1"/>
      </w:pPr>
      <w:r>
        <w:t xml:space="preserve">[ ] Estrategia de sostenibilidad / ESG  </w:t>
      </w:r>
    </w:p>
    <w:p>
      <w:pPr>
        <w:pStyle w:val="ListBullet"/>
        <w:keepLines w:val="1"/>
        <w:keepNext w:val="1"/>
        <w:widowControl w:val="1"/>
      </w:pPr>
      <w:r>
        <w:t xml:space="preserve">[ ] No existe alineamiento documentado, pero se asume “por sentido común”  </w:t>
      </w:r>
    </w:p>
    <w:p>
      <w:pPr>
        <w:pStyle w:val="ListBullet"/>
        <w:keepLines w:val="1"/>
        <w:widowControl w:val="1"/>
      </w:pPr>
      <w:r>
        <w:t>[ ] No está alineada con nada reconocible, pero se habla muy bien de ella</w:t>
      </w:r>
    </w:p>
    <w:p>
      <w:r>
        <w:rPr>
          <w:b/>
        </w:rPr>
        <w:t>P1.1.3. ¿Existe un apetito de riesgo de ciberseguridad definido y aprobado por la dirección?</w:t>
      </w:r>
    </w:p>
    <w:p>
      <w:pPr>
        <w:pStyle w:val="ListBullet"/>
        <w:keepLines w:val="1"/>
        <w:keepNext w:val="1"/>
        <w:widowControl w:val="1"/>
      </w:pPr>
      <w:r>
        <w:t xml:space="preserve">[ ] No, el riesgo es percibido solo de forma cualitativa e informal  </w:t>
      </w:r>
    </w:p>
    <w:p>
      <w:pPr>
        <w:pStyle w:val="ListBullet"/>
        <w:keepLines w:val="1"/>
        <w:keepNext w:val="1"/>
        <w:widowControl w:val="1"/>
      </w:pPr>
      <w:r>
        <w:t xml:space="preserve">[ ] Sí, definido de forma cualitativa (baja / media / alta tolerancia)  </w:t>
      </w:r>
    </w:p>
    <w:p>
      <w:pPr>
        <w:pStyle w:val="ListBullet"/>
        <w:keepLines w:val="1"/>
        <w:keepNext w:val="1"/>
        <w:widowControl w:val="1"/>
      </w:pPr>
      <w:r>
        <w:t xml:space="preserve">[ ] Sí, con límites numéricos (p. ej. máximos de pérdida esperada, RTO/RPO sectoriales, etc.)  </w:t>
      </w:r>
    </w:p>
    <w:p>
      <w:pPr>
        <w:pStyle w:val="ListBullet"/>
        <w:keepLines w:val="1"/>
        <w:keepNext w:val="1"/>
        <w:widowControl w:val="1"/>
      </w:pPr>
      <w:r>
        <w:t xml:space="preserve">[ ] Sí, y se revisa al menos anualmente  </w:t>
      </w:r>
    </w:p>
    <w:p>
      <w:pPr>
        <w:pStyle w:val="ListBullet"/>
        <w:keepLines w:val="1"/>
        <w:widowControl w:val="1"/>
      </w:pPr>
      <w:r>
        <w:t>[ ] Sí, y se usa para priorizar explícitamente inversiones y proyectos</w:t>
      </w:r>
    </w:p>
    <w:p>
      <w:pPr>
        <w:pStyle w:val="Heading3"/>
        <w:keepNext/>
        <w:keepLines/>
      </w:pPr>
      <w:r>
        <w:t>1.2. Roles, responsabilidades y rendición de cuentas</w:t>
      </w:r>
    </w:p>
    <w:p>
      <w:r>
        <w:rPr>
          <w:b/>
        </w:rPr>
        <w:t>P1.2.1. ¿Quién ostenta la máxima responsabilidad ejecutiva sobre ciberseguridad?</w:t>
      </w:r>
    </w:p>
    <w:p>
      <w:pPr>
        <w:pStyle w:val="ListBullet"/>
        <w:keepLines w:val="1"/>
        <w:keepNext w:val="1"/>
        <w:widowControl w:val="1"/>
      </w:pPr>
      <w:r>
        <w:t xml:space="preserve">[ ] No está claramente definido  </w:t>
      </w:r>
    </w:p>
    <w:p>
      <w:pPr>
        <w:pStyle w:val="ListBullet"/>
        <w:keepLines w:val="1"/>
        <w:keepNext w:val="1"/>
        <w:widowControl w:val="1"/>
      </w:pPr>
      <w:r>
        <w:t xml:space="preserve">[ ] CIO / responsable de TI  </w:t>
      </w:r>
    </w:p>
    <w:p>
      <w:pPr>
        <w:pStyle w:val="ListBullet"/>
        <w:keepLines w:val="1"/>
        <w:keepNext w:val="1"/>
        <w:widowControl w:val="1"/>
      </w:pPr>
      <w:r>
        <w:t xml:space="preserve">[ ] CISO (dependiente de TI)  </w:t>
      </w:r>
    </w:p>
    <w:p>
      <w:pPr>
        <w:pStyle w:val="ListBullet"/>
        <w:keepLines w:val="1"/>
        <w:keepNext w:val="1"/>
        <w:widowControl w:val="1"/>
      </w:pPr>
      <w:r>
        <w:t xml:space="preserve">[ ] CISO (dependiente de riesgo / cumplimiento / dirección general)  </w:t>
      </w:r>
    </w:p>
    <w:p>
      <w:pPr>
        <w:pStyle w:val="ListBullet"/>
        <w:keepLines w:val="1"/>
        <w:widowControl w:val="1"/>
      </w:pPr>
      <w:r>
        <w:t xml:space="preserve">[ ] Otro (especificar): _____  </w:t>
      </w:r>
    </w:p>
    <w:p>
      <w:r>
        <w:rPr>
          <w:b/>
        </w:rPr>
        <w:t>P1.2.2. El CISO (o equivalente):</w:t>
      </w:r>
    </w:p>
    <w:p>
      <w:pPr>
        <w:pStyle w:val="ListBullet"/>
        <w:keepLines w:val="1"/>
        <w:keepNext w:val="1"/>
        <w:widowControl w:val="1"/>
      </w:pPr>
      <w:r>
        <w:t xml:space="preserve">[ ] No existe como rol formal  </w:t>
      </w:r>
    </w:p>
    <w:p>
      <w:pPr>
        <w:pStyle w:val="ListBullet"/>
        <w:keepLines w:val="1"/>
        <w:keepNext w:val="1"/>
        <w:widowControl w:val="1"/>
      </w:pPr>
      <w:r>
        <w:t xml:space="preserve">[ ] Existe, pero sin independencia ni acceso a la alta dirección  </w:t>
      </w:r>
    </w:p>
    <w:p>
      <w:pPr>
        <w:pStyle w:val="ListBullet"/>
        <w:keepLines w:val="1"/>
        <w:keepNext w:val="1"/>
        <w:widowControl w:val="1"/>
      </w:pPr>
      <w:r>
        <w:t xml:space="preserve">[ ] Reporta a TI sin acceso directo al consejo  </w:t>
      </w:r>
    </w:p>
    <w:p>
      <w:pPr>
        <w:pStyle w:val="ListBullet"/>
        <w:keepLines w:val="1"/>
        <w:keepNext w:val="1"/>
        <w:widowControl w:val="1"/>
      </w:pPr>
      <w:r>
        <w:t xml:space="preserve">[ ] Reporta a dirección de riesgos / dirección general con acceso regular al consejo  </w:t>
      </w:r>
    </w:p>
    <w:p>
      <w:pPr>
        <w:pStyle w:val="ListBullet"/>
        <w:keepLines w:val="1"/>
        <w:widowControl w:val="1"/>
      </w:pPr>
      <w:r>
        <w:t>[ ] Es miembro del comité de dirección y participa en el consejo cuando se tratan riesgos críticos</w:t>
      </w:r>
    </w:p>
    <w:p>
      <w:r>
        <w:rPr>
          <w:b/>
        </w:rPr>
        <w:t>P1.2.3. ¿Existen comités formales de ciberseguridad o de riesgos tecnológicos?</w:t>
      </w:r>
    </w:p>
    <w:p>
      <w:pPr>
        <w:pStyle w:val="ListBullet"/>
        <w:keepLines w:val="1"/>
        <w:keepNext w:val="1"/>
        <w:widowControl w:val="1"/>
      </w:pPr>
      <w:r>
        <w:t xml:space="preserve">[ ] No  </w:t>
      </w:r>
    </w:p>
    <w:p>
      <w:pPr>
        <w:pStyle w:val="ListBullet"/>
        <w:keepLines w:val="1"/>
        <w:keepNext w:val="1"/>
        <w:widowControl w:val="1"/>
      </w:pPr>
      <w:r>
        <w:t xml:space="preserve">[ ] Sí, pero se reúnen de forma ad hoc  </w:t>
      </w:r>
    </w:p>
    <w:p>
      <w:pPr>
        <w:pStyle w:val="ListBullet"/>
        <w:keepLines w:val="1"/>
        <w:keepNext w:val="1"/>
        <w:widowControl w:val="1"/>
      </w:pPr>
      <w:r>
        <w:t xml:space="preserve">[ ] Sí, con reuniones periódicas definidas (al menos semestrales)  </w:t>
      </w:r>
    </w:p>
    <w:p>
      <w:pPr>
        <w:pStyle w:val="ListBullet"/>
        <w:keepLines w:val="1"/>
        <w:keepNext w:val="1"/>
        <w:widowControl w:val="1"/>
      </w:pPr>
      <w:r>
        <w:t xml:space="preserve">[ ] Sí, con reuniones trimestrales o superiores, y actas documentadas  </w:t>
      </w:r>
    </w:p>
    <w:p>
      <w:pPr>
        <w:pStyle w:val="ListBullet"/>
        <w:keepLines w:val="1"/>
        <w:widowControl w:val="1"/>
      </w:pPr>
      <w:r>
        <w:t>[ ] Sí, y sus decisiones se integran en el cuadro de mando corporativo</w:t>
      </w:r>
    </w:p>
    <w:p>
      <w:pPr>
        <w:pStyle w:val="Heading3"/>
        <w:keepNext/>
        <w:keepLines/>
      </w:pPr>
      <w:r>
        <w:t>1.3. Métricas y reporting de gobernanza</w:t>
      </w:r>
    </w:p>
    <w:p>
      <w:r>
        <w:rPr>
          <w:b/>
        </w:rPr>
        <w:t>P1.3.1. ¿Se dispone de un cuadro de mando de ciberseguridad?</w:t>
      </w:r>
    </w:p>
    <w:p>
      <w:pPr>
        <w:pStyle w:val="ListBullet"/>
        <w:keepLines w:val="1"/>
        <w:keepNext w:val="1"/>
        <w:widowControl w:val="1"/>
      </w:pPr>
      <w:r>
        <w:t xml:space="preserve">[ ] No  </w:t>
      </w:r>
    </w:p>
    <w:p>
      <w:pPr>
        <w:pStyle w:val="ListBullet"/>
        <w:keepLines w:val="1"/>
        <w:keepNext w:val="1"/>
        <w:widowControl w:val="1"/>
      </w:pPr>
      <w:r>
        <w:t xml:space="preserve">[ ] Sí, pero limitado a métricas técnicas (vulnerabilidades, antivirus, etc.)  </w:t>
      </w:r>
    </w:p>
    <w:p>
      <w:pPr>
        <w:pStyle w:val="ListBullet"/>
        <w:keepLines w:val="1"/>
        <w:keepNext w:val="1"/>
        <w:widowControl w:val="1"/>
      </w:pPr>
      <w:r>
        <w:t xml:space="preserve">[ ] Sí, incluye métricas técnicas y de procesos (incidentes, tiempos de respuesta, auditorías)  </w:t>
      </w:r>
    </w:p>
    <w:p>
      <w:pPr>
        <w:pStyle w:val="ListBullet"/>
        <w:keepLines w:val="1"/>
        <w:keepNext w:val="1"/>
        <w:widowControl w:val="1"/>
      </w:pPr>
      <w:r>
        <w:t xml:space="preserve">[ ] Sí, incluye además indicadores de riesgo y de alineamiento con negocio  </w:t>
      </w:r>
    </w:p>
    <w:p>
      <w:pPr>
        <w:pStyle w:val="ListBullet"/>
        <w:keepLines w:val="1"/>
        <w:widowControl w:val="1"/>
      </w:pPr>
      <w:r>
        <w:t>[ ] Sí, se integra en el cuadro de mando corporativo y se revisa en consejos / comités</w:t>
      </w:r>
    </w:p>
    <w:p>
      <w:r>
        <w:rPr>
          <w:b/>
        </w:rPr>
        <w:t>P1.3.2. Frecuencia de reporte de ciberseguridad al máximo órgano de gobierno</w:t>
      </w:r>
    </w:p>
    <w:p>
      <w:pPr>
        <w:pStyle w:val="ListBullet"/>
        <w:keepLines w:val="1"/>
        <w:keepNext w:val="1"/>
        <w:widowControl w:val="1"/>
      </w:pPr>
      <w:r>
        <w:t xml:space="preserve">[ ] Nunca  </w:t>
      </w:r>
    </w:p>
    <w:p>
      <w:pPr>
        <w:pStyle w:val="ListBullet"/>
        <w:keepLines w:val="1"/>
        <w:keepNext w:val="1"/>
        <w:widowControl w:val="1"/>
      </w:pPr>
      <w:r>
        <w:t xml:space="preserve">[ ] Solo tras incidentes graves  </w:t>
      </w:r>
    </w:p>
    <w:p>
      <w:pPr>
        <w:pStyle w:val="ListBullet"/>
        <w:keepLines w:val="1"/>
        <w:keepNext w:val="1"/>
        <w:widowControl w:val="1"/>
      </w:pPr>
      <w:r>
        <w:t xml:space="preserve">[ ] Anual  </w:t>
      </w:r>
    </w:p>
    <w:p>
      <w:pPr>
        <w:pStyle w:val="ListBullet"/>
        <w:keepLines w:val="1"/>
        <w:keepNext w:val="1"/>
        <w:widowControl w:val="1"/>
      </w:pPr>
      <w:r>
        <w:t xml:space="preserve">[ ] Semestral  </w:t>
      </w:r>
    </w:p>
    <w:p>
      <w:pPr>
        <w:pStyle w:val="ListBullet"/>
        <w:keepLines w:val="1"/>
        <w:widowControl w:val="1"/>
      </w:pPr>
      <w:r>
        <w:t>[ ] Trimestral o más frecuente (por supuesto, con PowerPoint)</w:t>
      </w:r>
    </w:p>
    <w:p>
      <w:pPr>
        <w:pStyle w:val="Heading2"/>
        <w:keepNext/>
        <w:keepLines/>
      </w:pPr>
      <w:r>
        <w:rPr>
          <w:color w:val="0066CC"/>
        </w:rPr>
        <w:t>2. Gestión del riesgo de ciberseguridad</w:t>
      </w:r>
    </w:p>
    <w:p>
      <w:pPr>
        <w:pStyle w:val="Heading3"/>
        <w:keepNext/>
        <w:keepLines/>
      </w:pPr>
      <w:r>
        <w:t>2.1. Metodología y alcance</w:t>
      </w:r>
    </w:p>
    <w:p>
      <w:r>
        <w:rPr>
          <w:b/>
        </w:rPr>
        <w:t>P2.1.1. ¿La organización aplica una metodología formal de gestión de riesgos de ciberseguridad?</w:t>
      </w:r>
    </w:p>
    <w:p>
      <w:pPr>
        <w:pStyle w:val="ListBullet"/>
        <w:keepLines w:val="1"/>
        <w:keepNext w:val="1"/>
        <w:widowControl w:val="1"/>
      </w:pPr>
      <w:r>
        <w:t xml:space="preserve">[ ] No  </w:t>
      </w:r>
    </w:p>
    <w:p>
      <w:pPr>
        <w:pStyle w:val="ListBullet"/>
        <w:keepLines w:val="1"/>
        <w:keepNext w:val="1"/>
        <w:widowControl w:val="1"/>
      </w:pPr>
      <w:r>
        <w:t xml:space="preserve">[ ] Sí, propia no alineada con estándares  </w:t>
      </w:r>
    </w:p>
    <w:p>
      <w:pPr>
        <w:pStyle w:val="ListBullet"/>
        <w:keepLines w:val="1"/>
        <w:keepNext w:val="1"/>
        <w:widowControl w:val="1"/>
      </w:pPr>
      <w:r>
        <w:t xml:space="preserve">[ ] Sí, basada en ISO 31000 / ISO 27005  </w:t>
      </w:r>
    </w:p>
    <w:p>
      <w:pPr>
        <w:pStyle w:val="ListBullet"/>
        <w:keepLines w:val="1"/>
        <w:keepNext w:val="1"/>
        <w:widowControl w:val="1"/>
      </w:pPr>
      <w:r>
        <w:t xml:space="preserve">[ ] Sí, basada en NIST RMF / NIST CSF  </w:t>
      </w:r>
    </w:p>
    <w:p>
      <w:pPr>
        <w:pStyle w:val="ListBullet"/>
        <w:keepLines w:val="1"/>
        <w:keepNext w:val="1"/>
        <w:widowControl w:val="1"/>
      </w:pPr>
      <w:r>
        <w:t xml:space="preserve">[ ] Sí, basada en marcos nacionales (ENS, guías CCN, etc.)  </w:t>
      </w:r>
    </w:p>
    <w:p>
      <w:pPr>
        <w:pStyle w:val="ListBullet"/>
        <w:keepLines w:val="1"/>
        <w:widowControl w:val="1"/>
      </w:pPr>
      <w:r>
        <w:t>[ ] Combinación de las anteriores (explicar en comentarios)</w:t>
      </w:r>
    </w:p>
    <w:p>
      <w:r>
        <w:rPr>
          <w:b/>
        </w:rPr>
        <w:t>P2.1.2. Alcance actual de la gestión de riesgos de ciberseguridad</w:t>
      </w:r>
    </w:p>
    <w:p>
      <w:pPr>
        <w:pStyle w:val="ListBullet"/>
        <w:keepLines w:val="1"/>
        <w:keepNext w:val="1"/>
        <w:widowControl w:val="1"/>
      </w:pPr>
      <w:r>
        <w:t xml:space="preserve">[ ] Solo TI corporativa  </w:t>
      </w:r>
    </w:p>
    <w:p>
      <w:pPr>
        <w:pStyle w:val="ListBullet"/>
        <w:keepLines w:val="1"/>
        <w:keepNext w:val="1"/>
        <w:widowControl w:val="1"/>
      </w:pPr>
      <w:r>
        <w:t xml:space="preserve">[ ] TI + OT en áreas críticas  </w:t>
      </w:r>
    </w:p>
    <w:p>
      <w:pPr>
        <w:pStyle w:val="ListBullet"/>
        <w:keepLines w:val="1"/>
        <w:keepNext w:val="1"/>
        <w:widowControl w:val="1"/>
      </w:pPr>
      <w:r>
        <w:t xml:space="preserve">[ ] TI + OT + proveedores clave  </w:t>
      </w:r>
    </w:p>
    <w:p>
      <w:pPr>
        <w:pStyle w:val="ListBullet"/>
        <w:keepLines w:val="1"/>
        <w:keepNext w:val="1"/>
        <w:widowControl w:val="1"/>
      </w:pPr>
      <w:r>
        <w:t xml:space="preserve">[ ] Toda la organización, incluyendo cadena de suministro y terceros críticos  </w:t>
      </w:r>
    </w:p>
    <w:p>
      <w:pPr>
        <w:pStyle w:val="ListBullet"/>
        <w:keepLines w:val="1"/>
        <w:widowControl w:val="1"/>
      </w:pPr>
      <w:r>
        <w:t>[ ] Abarca además riesgos de privacidad y protección de datos</w:t>
      </w:r>
    </w:p>
    <w:p>
      <w:pPr>
        <w:pStyle w:val="Heading3"/>
        <w:keepNext/>
        <w:keepLines/>
      </w:pPr>
      <w:r>
        <w:t>2.2. Identificación, análisis y valoración</w:t>
      </w:r>
    </w:p>
    <w:p>
      <w:r>
        <w:rPr>
          <w:b/>
        </w:rPr>
        <w:t>P2.2.1. ¿Con qué frecuencia se realiza un análisis formal de riesgos de ciberseguridad?</w:t>
      </w:r>
    </w:p>
    <w:p>
      <w:pPr>
        <w:pStyle w:val="ListBullet"/>
        <w:keepLines w:val="1"/>
        <w:keepNext w:val="1"/>
        <w:widowControl w:val="1"/>
      </w:pPr>
      <w:r>
        <w:t xml:space="preserve">[ ] Nunca  </w:t>
      </w:r>
    </w:p>
    <w:p>
      <w:pPr>
        <w:pStyle w:val="ListBullet"/>
        <w:keepLines w:val="1"/>
        <w:keepNext w:val="1"/>
        <w:widowControl w:val="1"/>
      </w:pPr>
      <w:r>
        <w:t xml:space="preserve">[ ] Solo antes de auditorías o por requerimiento regulatorio  </w:t>
      </w:r>
    </w:p>
    <w:p>
      <w:pPr>
        <w:pStyle w:val="ListBullet"/>
        <w:keepLines w:val="1"/>
        <w:keepNext w:val="1"/>
        <w:widowControl w:val="1"/>
      </w:pPr>
      <w:r>
        <w:t xml:space="preserve">[ ] Cada más de 2 años  </w:t>
      </w:r>
    </w:p>
    <w:p>
      <w:pPr>
        <w:pStyle w:val="ListBullet"/>
        <w:keepLines w:val="1"/>
        <w:keepNext w:val="1"/>
        <w:widowControl w:val="1"/>
      </w:pPr>
      <w:r>
        <w:t xml:space="preserve">[ ] Anual  </w:t>
      </w:r>
    </w:p>
    <w:p>
      <w:pPr>
        <w:pStyle w:val="ListBullet"/>
        <w:keepLines w:val="1"/>
        <w:widowControl w:val="1"/>
      </w:pPr>
      <w:r>
        <w:t>[ ] Al menos anual, con revisiones ad hoc ligadas a cambios relevantes (nuevos proyectos, fusiones, etc.)</w:t>
      </w:r>
    </w:p>
    <w:p>
      <w:r>
        <w:rPr>
          <w:b/>
        </w:rPr>
        <w:t>P2.2.2. Nivel de cuantificación de riesgos</w:t>
      </w:r>
    </w:p>
    <w:p>
      <w:pPr>
        <w:pStyle w:val="ListBullet"/>
        <w:keepLines w:val="1"/>
        <w:keepNext w:val="1"/>
        <w:widowControl w:val="1"/>
      </w:pPr>
      <w:r>
        <w:t xml:space="preserve">[ ] Exclusivamente cualitativo (bajo/medio/alto)  </w:t>
      </w:r>
    </w:p>
    <w:p>
      <w:pPr>
        <w:pStyle w:val="ListBullet"/>
        <w:keepLines w:val="1"/>
        <w:keepNext w:val="1"/>
        <w:widowControl w:val="1"/>
      </w:pPr>
      <w:r>
        <w:t xml:space="preserve">[ ] Cualitativo con escalas semi‑cuantitativas (1–5, 1–10)  </w:t>
      </w:r>
    </w:p>
    <w:p>
      <w:pPr>
        <w:pStyle w:val="ListBullet"/>
        <w:keepLines w:val="1"/>
        <w:keepNext w:val="1"/>
        <w:widowControl w:val="1"/>
      </w:pPr>
      <w:r>
        <w:t xml:space="preserve">[ ] Se utilizan estimaciones económicas de impacto (pérdida esperada, escenario plausible)  </w:t>
      </w:r>
    </w:p>
    <w:p>
      <w:pPr>
        <w:pStyle w:val="ListBullet"/>
        <w:keepLines w:val="1"/>
        <w:keepNext w:val="1"/>
        <w:widowControl w:val="1"/>
      </w:pPr>
      <w:r>
        <w:t xml:space="preserve">[ ] Se utilizan modelos actuariales o de análisis cuantitativo (p. ej. FAIR u otros)  </w:t>
      </w:r>
    </w:p>
    <w:p>
      <w:pPr>
        <w:pStyle w:val="ListBullet"/>
        <w:keepLines w:val="1"/>
        <w:widowControl w:val="1"/>
      </w:pPr>
      <w:r>
        <w:t>[ ] Se integran los riesgos de ciberseguridad en el mapa de riesgos corporativo con impactos financieros</w:t>
      </w:r>
    </w:p>
    <w:p>
      <w:pPr>
        <w:pStyle w:val="Heading3"/>
        <w:keepNext/>
        <w:keepLines/>
      </w:pPr>
      <w:r>
        <w:t>2.3. Prioridad sectorial y criticidad</w:t>
      </w:r>
    </w:p>
    <w:p>
      <w:r>
        <w:rPr>
          <w:b/>
        </w:rPr>
        <w:t>P2.3.1. ¿Se han identificado los servicios / procesos críticos para la organización y/o para el país (según NIS2, DORA, etc.)?</w:t>
      </w:r>
    </w:p>
    <w:p>
      <w:pPr>
        <w:pStyle w:val="ListBullet"/>
        <w:keepLines w:val="1"/>
        <w:keepNext w:val="1"/>
        <w:widowControl w:val="1"/>
      </w:pPr>
      <w:r>
        <w:t xml:space="preserve">[ ] No  </w:t>
      </w:r>
    </w:p>
    <w:p>
      <w:pPr>
        <w:pStyle w:val="ListBullet"/>
        <w:keepLines w:val="1"/>
        <w:keepNext w:val="1"/>
        <w:widowControl w:val="1"/>
      </w:pPr>
      <w:r>
        <w:t xml:space="preserve">[ ] Sí, pero no se han mapeado a activos tecnológicos específicos  </w:t>
      </w:r>
    </w:p>
    <w:p>
      <w:pPr>
        <w:pStyle w:val="ListBullet"/>
        <w:keepLines w:val="1"/>
        <w:keepNext w:val="1"/>
        <w:widowControl w:val="1"/>
      </w:pPr>
      <w:r>
        <w:t xml:space="preserve">[ ] Sí, con mapeo de servicios críticos a activos TI/OT  </w:t>
      </w:r>
    </w:p>
    <w:p>
      <w:pPr>
        <w:pStyle w:val="ListBullet"/>
        <w:keepLines w:val="1"/>
        <w:keepNext w:val="1"/>
        <w:widowControl w:val="1"/>
      </w:pPr>
      <w:r>
        <w:t xml:space="preserve">[ ] Sí, con mapeo y escenarios de impacto definidos  </w:t>
      </w:r>
    </w:p>
    <w:p>
      <w:pPr>
        <w:pStyle w:val="ListBullet"/>
        <w:keepLines w:val="1"/>
        <w:widowControl w:val="1"/>
      </w:pPr>
      <w:r>
        <w:t>[ ] Sí, y se cruzan criticidad y madurez de controles para priorizar inversiones</w:t>
      </w:r>
    </w:p>
    <w:p>
      <w:r>
        <w:rPr>
          <w:b/>
        </w:rPr>
        <w:t>P2.3.2. ¿Cómo se priorizan las inversiones de ciberseguridad?</w:t>
      </w:r>
    </w:p>
    <w:p>
      <w:pPr>
        <w:pStyle w:val="ListBullet"/>
        <w:keepLines w:val="1"/>
        <w:keepNext w:val="1"/>
        <w:widowControl w:val="1"/>
      </w:pPr>
      <w:r>
        <w:t xml:space="preserve">[ ] Por percepción / presión del proveedor / moda tecnológica  </w:t>
      </w:r>
    </w:p>
    <w:p>
      <w:pPr>
        <w:pStyle w:val="ListBullet"/>
        <w:keepLines w:val="1"/>
        <w:keepNext w:val="1"/>
        <w:widowControl w:val="1"/>
      </w:pPr>
      <w:r>
        <w:t xml:space="preserve">[ ] Por cumplimiento regulatorio mínimo  </w:t>
      </w:r>
    </w:p>
    <w:p>
      <w:pPr>
        <w:pStyle w:val="ListBullet"/>
        <w:keepLines w:val="1"/>
        <w:keepNext w:val="1"/>
        <w:widowControl w:val="1"/>
      </w:pPr>
      <w:r>
        <w:t xml:space="preserve">[ ] Por resultados de auditoría  </w:t>
      </w:r>
    </w:p>
    <w:p>
      <w:pPr>
        <w:pStyle w:val="ListBullet"/>
        <w:keepLines w:val="1"/>
        <w:keepNext w:val="1"/>
        <w:widowControl w:val="1"/>
      </w:pPr>
      <w:r>
        <w:t xml:space="preserve">[ ] Por análisis de riesgo formal  </w:t>
      </w:r>
    </w:p>
    <w:p>
      <w:pPr>
        <w:pStyle w:val="ListBullet"/>
        <w:keepLines w:val="1"/>
        <w:widowControl w:val="1"/>
      </w:pPr>
      <w:r>
        <w:t>[ ] Por una combinación de análisis de riesgo, ROI esperado y resiliencia</w:t>
      </w:r>
    </w:p>
    <w:p>
      <w:pPr>
        <w:pStyle w:val="Heading2"/>
        <w:keepNext/>
        <w:keepLines/>
      </w:pPr>
      <w:r>
        <w:rPr>
          <w:color w:val="0066CC"/>
        </w:rPr>
        <w:t>3. Cumplimiento normativo y regulatorio</w:t>
      </w:r>
    </w:p>
    <w:p>
      <w:pPr>
        <w:pStyle w:val="Heading3"/>
        <w:keepNext/>
        <w:keepLines/>
      </w:pPr>
      <w:r>
        <w:t>3.1. Marco regulatorio aplicable</w:t>
      </w:r>
    </w:p>
    <w:p>
      <w:r>
        <w:rPr>
          <w:b/>
        </w:rPr>
        <w:t>P3.1.1. Indique qué marcos / normas resultan aplicables a su organización (marcar todos los que apliquen)</w:t>
      </w:r>
    </w:p>
    <w:p>
      <w:pPr>
        <w:pStyle w:val="ListBullet"/>
        <w:keepLines w:val="1"/>
        <w:keepNext w:val="1"/>
        <w:widowControl w:val="1"/>
      </w:pPr>
      <w:r>
        <w:t xml:space="preserve">[ ] ENS (Esquema Nacional de Seguridad)  </w:t>
      </w:r>
    </w:p>
    <w:p>
      <w:pPr>
        <w:pStyle w:val="ListBullet"/>
        <w:keepLines w:val="1"/>
        <w:keepNext w:val="1"/>
        <w:widowControl w:val="1"/>
      </w:pPr>
      <w:r>
        <w:t xml:space="preserve">[ ] ISO 27001 / 27701  </w:t>
      </w:r>
    </w:p>
    <w:p>
      <w:pPr>
        <w:pStyle w:val="ListBullet"/>
        <w:keepLines w:val="1"/>
        <w:keepNext w:val="1"/>
        <w:widowControl w:val="1"/>
      </w:pPr>
      <w:r>
        <w:t xml:space="preserve">[ ] NIS2 (operador esencial / entidad importante)  </w:t>
      </w:r>
    </w:p>
    <w:p>
      <w:pPr>
        <w:pStyle w:val="ListBullet"/>
        <w:keepLines w:val="1"/>
        <w:keepNext w:val="1"/>
        <w:widowControl w:val="1"/>
      </w:pPr>
      <w:r>
        <w:t xml:space="preserve">[ ] DORA (entidad financiera o proveedor TIC relevante)  </w:t>
      </w:r>
    </w:p>
    <w:p>
      <w:pPr>
        <w:pStyle w:val="ListBullet"/>
        <w:keepLines w:val="1"/>
        <w:keepNext w:val="1"/>
        <w:widowControl w:val="1"/>
      </w:pPr>
      <w:r>
        <w:t xml:space="preserve">[ ] RGPD / LOPDGDD  </w:t>
      </w:r>
    </w:p>
    <w:p>
      <w:pPr>
        <w:pStyle w:val="ListBullet"/>
        <w:keepLines w:val="1"/>
        <w:keepNext w:val="1"/>
        <w:widowControl w:val="1"/>
      </w:pPr>
      <w:r>
        <w:t xml:space="preserve">[ ] Sectorial (p. ej. PSD2, HIPAA equivalente, PCI DSS, etc.)  </w:t>
      </w:r>
    </w:p>
    <w:p>
      <w:pPr>
        <w:pStyle w:val="ListBullet"/>
        <w:keepLines w:val="1"/>
        <w:widowControl w:val="1"/>
      </w:pPr>
      <w:r>
        <w:t>[ ] Otros (especificar): _____</w:t>
      </w:r>
    </w:p>
    <w:p>
      <w:r>
        <w:rPr>
          <w:b/>
        </w:rPr>
        <w:t>P3.1.2. Nivel de cumplimiento percibido con los marcos aplicables</w:t>
      </w:r>
    </w:p>
    <w:p>
      <w:pPr>
        <w:pStyle w:val="ListBullet"/>
        <w:keepLines w:val="1"/>
        <w:keepNext w:val="1"/>
        <w:widowControl w:val="1"/>
      </w:pPr>
      <w:r>
        <w:t xml:space="preserve">[ ] Muy bajo – cumplimiento reactivo, sin planificación  </w:t>
      </w:r>
    </w:p>
    <w:p>
      <w:pPr>
        <w:pStyle w:val="ListBullet"/>
        <w:keepLines w:val="1"/>
        <w:keepNext w:val="1"/>
        <w:widowControl w:val="1"/>
      </w:pPr>
      <w:r>
        <w:t xml:space="preserve">[ ] Parcial – existen iniciativas en curso sin completar  </w:t>
      </w:r>
    </w:p>
    <w:p>
      <w:pPr>
        <w:pStyle w:val="ListBullet"/>
        <w:keepLines w:val="1"/>
        <w:keepNext w:val="1"/>
        <w:widowControl w:val="1"/>
      </w:pPr>
      <w:r>
        <w:t xml:space="preserve">[ ] Aceptable – cumplimiento razonable con algunas brechas conocidas  </w:t>
      </w:r>
    </w:p>
    <w:p>
      <w:pPr>
        <w:pStyle w:val="ListBullet"/>
        <w:keepLines w:val="1"/>
        <w:keepNext w:val="1"/>
        <w:widowControl w:val="1"/>
      </w:pPr>
      <w:r>
        <w:t xml:space="preserve">[ ] Alto – cumplimiento sistemático, con pocas brechas residuales  </w:t>
      </w:r>
    </w:p>
    <w:p>
      <w:pPr>
        <w:pStyle w:val="ListBullet"/>
        <w:keepLines w:val="1"/>
        <w:widowControl w:val="1"/>
      </w:pPr>
      <w:r>
        <w:t>[ ] Certificado / auditado regularmente por terceros</w:t>
      </w:r>
    </w:p>
    <w:p>
      <w:pPr>
        <w:pStyle w:val="Heading3"/>
        <w:keepNext/>
        <w:keepLines/>
      </w:pPr>
      <w:r>
        <w:t>3.2. Procesos de cumplimiento y evidencias</w:t>
      </w:r>
    </w:p>
    <w:p>
      <w:r>
        <w:rPr>
          <w:b/>
        </w:rPr>
        <w:t>P3.2.1. ¿Se dispone de un inventario actualizado de controles de ciberseguridad?</w:t>
      </w:r>
    </w:p>
    <w:p>
      <w:pPr>
        <w:pStyle w:val="ListBullet"/>
        <w:keepLines w:val="1"/>
        <w:keepNext w:val="1"/>
        <w:widowControl w:val="1"/>
      </w:pPr>
      <w:r>
        <w:t xml:space="preserve">[ ] No  </w:t>
      </w:r>
    </w:p>
    <w:p>
      <w:pPr>
        <w:pStyle w:val="ListBullet"/>
        <w:keepLines w:val="1"/>
        <w:keepNext w:val="1"/>
        <w:widowControl w:val="1"/>
      </w:pPr>
      <w:r>
        <w:t xml:space="preserve">[ ] Sí, pero no mapeado a requisitos normativos  </w:t>
      </w:r>
    </w:p>
    <w:p>
      <w:pPr>
        <w:pStyle w:val="ListBullet"/>
        <w:keepLines w:val="1"/>
        <w:keepNext w:val="1"/>
        <w:widowControl w:val="1"/>
      </w:pPr>
      <w:r>
        <w:t xml:space="preserve">[ ] Sí, mapeado a ISO 27001 / ENS u otros  </w:t>
      </w:r>
    </w:p>
    <w:p>
      <w:pPr>
        <w:pStyle w:val="ListBullet"/>
        <w:keepLines w:val="1"/>
        <w:keepNext w:val="1"/>
        <w:widowControl w:val="1"/>
      </w:pPr>
      <w:r>
        <w:t xml:space="preserve">[ ] Sí, mapeado a múltiples marcos (NIS2, DORA, etc.)  </w:t>
      </w:r>
    </w:p>
    <w:p>
      <w:pPr>
        <w:pStyle w:val="ListBullet"/>
        <w:keepLines w:val="1"/>
        <w:widowControl w:val="1"/>
      </w:pPr>
      <w:r>
        <w:t>[ ] Sí, integrado en una herramienta GRC (y, ocasionalmente, en la realidad)</w:t>
      </w:r>
    </w:p>
    <w:p>
      <w:r>
        <w:rPr>
          <w:b/>
        </w:rPr>
        <w:t>P3.2.2. ¿Con qué frecuencia se revisa el cumplimiento de controles clave?</w:t>
      </w:r>
    </w:p>
    <w:p>
      <w:pPr>
        <w:pStyle w:val="ListBullet"/>
        <w:keepLines w:val="1"/>
        <w:keepNext w:val="1"/>
        <w:widowControl w:val="1"/>
      </w:pPr>
      <w:r>
        <w:t xml:space="preserve">[ ] Nunca sistemáticamente  </w:t>
      </w:r>
    </w:p>
    <w:p>
      <w:pPr>
        <w:pStyle w:val="ListBullet"/>
        <w:keepLines w:val="1"/>
        <w:keepNext w:val="1"/>
        <w:widowControl w:val="1"/>
      </w:pPr>
      <w:r>
        <w:t xml:space="preserve">[ ] Solo en auditorías puntuales  </w:t>
      </w:r>
    </w:p>
    <w:p>
      <w:pPr>
        <w:pStyle w:val="ListBullet"/>
        <w:keepLines w:val="1"/>
        <w:keepNext w:val="1"/>
        <w:widowControl w:val="1"/>
      </w:pPr>
      <w:r>
        <w:t xml:space="preserve">[ ] Anual  </w:t>
      </w:r>
    </w:p>
    <w:p>
      <w:pPr>
        <w:pStyle w:val="ListBullet"/>
        <w:keepLines w:val="1"/>
        <w:keepNext w:val="1"/>
        <w:widowControl w:val="1"/>
      </w:pPr>
      <w:r>
        <w:t xml:space="preserve">[ ] Semestral  </w:t>
      </w:r>
    </w:p>
    <w:p>
      <w:pPr>
        <w:pStyle w:val="ListBullet"/>
        <w:keepLines w:val="1"/>
        <w:widowControl w:val="1"/>
      </w:pPr>
      <w:r>
        <w:t>[ ] Continuamente con soporte de herramientas de monitorización / GRC</w:t>
      </w:r>
    </w:p>
    <w:p>
      <w:pPr>
        <w:pStyle w:val="Heading2"/>
        <w:keepNext/>
        <w:keepLines/>
      </w:pPr>
      <w:r>
        <w:rPr>
          <w:color w:val="0066CC"/>
        </w:rPr>
        <w:t>4. Capacidades técnicas y Zero Trust</w:t>
      </w:r>
    </w:p>
    <w:p>
      <w:pPr>
        <w:pStyle w:val="Heading3"/>
        <w:keepNext/>
        <w:keepLines/>
      </w:pPr>
      <w:r>
        <w:t>4.1. Identidad y acceso</w:t>
      </w:r>
    </w:p>
    <w:p>
      <w:r>
        <w:rPr>
          <w:b/>
        </w:rPr>
        <w:t>P4.1.1. Nivel de madurez en gestión de identidades (IAM) y accesos privilegiados (PAM)</w:t>
      </w:r>
    </w:p>
    <w:p>
      <w:pPr>
        <w:pStyle w:val="ListBullet"/>
        <w:keepLines w:val="1"/>
        <w:keepNext w:val="1"/>
        <w:widowControl w:val="1"/>
      </w:pPr>
      <w:r>
        <w:t xml:space="preserve">[ ] Gestión manual / usuarios locales sin control centralizado  </w:t>
      </w:r>
    </w:p>
    <w:p>
      <w:pPr>
        <w:pStyle w:val="ListBullet"/>
        <w:keepLines w:val="1"/>
        <w:keepNext w:val="1"/>
        <w:widowControl w:val="1"/>
      </w:pPr>
      <w:r>
        <w:t xml:space="preserve">[ ] Directorio centralizado básico (AD u otros)  </w:t>
      </w:r>
    </w:p>
    <w:p>
      <w:pPr>
        <w:pStyle w:val="ListBullet"/>
        <w:keepLines w:val="1"/>
        <w:keepNext w:val="1"/>
        <w:widowControl w:val="1"/>
      </w:pPr>
      <w:r>
        <w:t xml:space="preserve">[ ] IAM con control de roles y grupos, revisiones periódicas de accesos  </w:t>
      </w:r>
    </w:p>
    <w:p>
      <w:pPr>
        <w:pStyle w:val="ListBullet"/>
        <w:keepLines w:val="1"/>
        <w:keepNext w:val="1"/>
        <w:widowControl w:val="1"/>
      </w:pPr>
      <w:r>
        <w:t xml:space="preserve">[ ] IAM avanzado con SSO, MFA generalizado, PAM para accesos privilegiados  </w:t>
      </w:r>
    </w:p>
    <w:p>
      <w:pPr>
        <w:pStyle w:val="ListBullet"/>
        <w:keepLines w:val="1"/>
        <w:widowControl w:val="1"/>
      </w:pPr>
      <w:r>
        <w:t>[ ] Modelo Zero Trust basado en identidad (acceso condicional, principios de mínimo privilegio “de verdad”)</w:t>
      </w:r>
    </w:p>
    <w:p>
      <w:r>
        <w:rPr>
          <w:b/>
        </w:rPr>
        <w:t>P4.1.2. Cobertura de autenticación multifactor (MFA)</w:t>
      </w:r>
    </w:p>
    <w:p>
      <w:pPr>
        <w:pStyle w:val="ListBullet"/>
        <w:keepLines w:val="1"/>
        <w:keepNext w:val="1"/>
        <w:widowControl w:val="1"/>
      </w:pPr>
      <w:r>
        <w:t xml:space="preserve">[ ] No se utiliza MFA  </w:t>
      </w:r>
    </w:p>
    <w:p>
      <w:pPr>
        <w:pStyle w:val="ListBullet"/>
        <w:keepLines w:val="1"/>
        <w:keepNext w:val="1"/>
        <w:widowControl w:val="1"/>
      </w:pPr>
      <w:r>
        <w:t xml:space="preserve">[ ] Limitado a accesos VPN / remotos  </w:t>
      </w:r>
    </w:p>
    <w:p>
      <w:pPr>
        <w:pStyle w:val="ListBullet"/>
        <w:keepLines w:val="1"/>
        <w:keepNext w:val="1"/>
        <w:widowControl w:val="1"/>
      </w:pPr>
      <w:r>
        <w:t xml:space="preserve">[ ] Extendido a administradores y usuarios sensibles  </w:t>
      </w:r>
    </w:p>
    <w:p>
      <w:pPr>
        <w:pStyle w:val="ListBullet"/>
        <w:keepLines w:val="1"/>
        <w:keepNext w:val="1"/>
        <w:widowControl w:val="1"/>
      </w:pPr>
      <w:r>
        <w:t xml:space="preserve">[ ] Aplicado a todos los usuarios internos  </w:t>
      </w:r>
    </w:p>
    <w:p>
      <w:pPr>
        <w:pStyle w:val="ListBullet"/>
        <w:keepLines w:val="1"/>
        <w:widowControl w:val="1"/>
      </w:pPr>
      <w:r>
        <w:t>[ ] Aplicado a todos los usuarios internos y externos relevantes, incluyendo clientes y proveedores</w:t>
      </w:r>
    </w:p>
    <w:p>
      <w:pPr>
        <w:pStyle w:val="Heading3"/>
        <w:keepNext/>
        <w:keepLines/>
      </w:pPr>
      <w:r>
        <w:t>4.2. Red, segmentación y acceso remoto</w:t>
      </w:r>
    </w:p>
    <w:p>
      <w:r>
        <w:rPr>
          <w:b/>
        </w:rPr>
        <w:t>P4.2.1. Enfoque actual de arquitectura de red</w:t>
      </w:r>
    </w:p>
    <w:p>
      <w:pPr>
        <w:pStyle w:val="ListBullet"/>
        <w:keepLines w:val="1"/>
        <w:keepNext w:val="1"/>
        <w:widowControl w:val="1"/>
      </w:pPr>
      <w:r>
        <w:t xml:space="preserve">[ ] Red plana con controles perimetrales básicos  </w:t>
      </w:r>
    </w:p>
    <w:p>
      <w:pPr>
        <w:pStyle w:val="ListBullet"/>
        <w:keepLines w:val="1"/>
        <w:keepNext w:val="1"/>
        <w:widowControl w:val="1"/>
      </w:pPr>
      <w:r>
        <w:t xml:space="preserve">[ ] Segmentación básica entre entornos (oficina / producción / DMZ)  </w:t>
      </w:r>
    </w:p>
    <w:p>
      <w:pPr>
        <w:pStyle w:val="ListBullet"/>
        <w:keepLines w:val="1"/>
        <w:keepNext w:val="1"/>
        <w:widowControl w:val="1"/>
      </w:pPr>
      <w:r>
        <w:t xml:space="preserve">[ ] Segmentación avanzada con microsegmentación en entornos críticos  </w:t>
      </w:r>
    </w:p>
    <w:p>
      <w:pPr>
        <w:pStyle w:val="ListBullet"/>
        <w:keepLines w:val="1"/>
        <w:keepNext w:val="1"/>
        <w:widowControl w:val="1"/>
      </w:pPr>
      <w:r>
        <w:t xml:space="preserve">[ ] Enfoque Zero Trust Network Access (ZTNA) en sustitución o refuerzo de VPN  </w:t>
      </w:r>
    </w:p>
    <w:p>
      <w:pPr>
        <w:pStyle w:val="ListBullet"/>
        <w:keepLines w:val="1"/>
        <w:widowControl w:val="1"/>
      </w:pPr>
      <w:r>
        <w:t>[ ] Arquitectura predominantemente cloud con principios Zero Trust integrados</w:t>
      </w:r>
    </w:p>
    <w:p>
      <w:r>
        <w:rPr>
          <w:b/>
        </w:rPr>
        <w:t>P4.2.2. Uso de soluciones ZTNA / SSE / SASE</w:t>
      </w:r>
    </w:p>
    <w:p>
      <w:pPr>
        <w:pStyle w:val="ListBullet"/>
        <w:keepLines w:val="1"/>
        <w:keepNext w:val="1"/>
        <w:widowControl w:val="1"/>
      </w:pPr>
      <w:r>
        <w:t xml:space="preserve">[ ] Ninguna  </w:t>
      </w:r>
    </w:p>
    <w:p>
      <w:pPr>
        <w:pStyle w:val="ListBullet"/>
        <w:keepLines w:val="1"/>
        <w:keepNext w:val="1"/>
        <w:widowControl w:val="1"/>
      </w:pPr>
      <w:r>
        <w:t xml:space="preserve">[ ] PoC / piloto  </w:t>
      </w:r>
    </w:p>
    <w:p>
      <w:pPr>
        <w:pStyle w:val="ListBullet"/>
        <w:keepLines w:val="1"/>
        <w:keepNext w:val="1"/>
        <w:widowControl w:val="1"/>
      </w:pPr>
      <w:r>
        <w:t xml:space="preserve">[ ] Implantación parcial en algunos colectivos  </w:t>
      </w:r>
    </w:p>
    <w:p>
      <w:pPr>
        <w:pStyle w:val="ListBullet"/>
        <w:keepLines w:val="1"/>
        <w:keepNext w:val="1"/>
        <w:widowControl w:val="1"/>
      </w:pPr>
      <w:r>
        <w:t xml:space="preserve">[ ] Implantación extendida a la mayoría de usuarios externos / remotos  </w:t>
      </w:r>
    </w:p>
    <w:p>
      <w:pPr>
        <w:pStyle w:val="ListBullet"/>
        <w:keepLines w:val="1"/>
        <w:widowControl w:val="1"/>
      </w:pPr>
      <w:r>
        <w:t>[ ] Modelo predominante de acceso a recursos internos</w:t>
      </w:r>
    </w:p>
    <w:p>
      <w:pPr>
        <w:pStyle w:val="Heading3"/>
        <w:keepNext/>
        <w:keepLines/>
      </w:pPr>
      <w:r>
        <w:t>4.3. Datos, detección y respuesta</w:t>
      </w:r>
    </w:p>
    <w:p>
      <w:r>
        <w:rPr>
          <w:b/>
        </w:rPr>
        <w:t>P4.3.1. Protección de datos sensibles (DLP / cifrado / clasificación)</w:t>
      </w:r>
    </w:p>
    <w:p>
      <w:pPr>
        <w:pStyle w:val="ListBullet"/>
        <w:keepLines w:val="1"/>
        <w:keepNext w:val="1"/>
        <w:widowControl w:val="1"/>
      </w:pPr>
      <w:r>
        <w:t xml:space="preserve">[ ] No existe clasificación formal de la información  </w:t>
      </w:r>
    </w:p>
    <w:p>
      <w:pPr>
        <w:pStyle w:val="ListBullet"/>
        <w:keepLines w:val="1"/>
        <w:keepNext w:val="1"/>
        <w:widowControl w:val="1"/>
      </w:pPr>
      <w:r>
        <w:t xml:space="preserve">[ ] Clasificación básica, sin controles técnicos asociados  </w:t>
      </w:r>
    </w:p>
    <w:p>
      <w:pPr>
        <w:pStyle w:val="ListBullet"/>
        <w:keepLines w:val="1"/>
        <w:keepNext w:val="1"/>
        <w:widowControl w:val="1"/>
      </w:pPr>
      <w:r>
        <w:t xml:space="preserve">[ ] Clasificación con controles de cifrado en tránsito y en reposo  </w:t>
      </w:r>
    </w:p>
    <w:p>
      <w:pPr>
        <w:pStyle w:val="ListBullet"/>
        <w:keepLines w:val="1"/>
        <w:keepNext w:val="1"/>
        <w:widowControl w:val="1"/>
      </w:pPr>
      <w:r>
        <w:t xml:space="preserve">[ ] DLP implementado en correo y web para datos críticos  </w:t>
      </w:r>
    </w:p>
    <w:p>
      <w:pPr>
        <w:pStyle w:val="ListBullet"/>
        <w:keepLines w:val="1"/>
        <w:widowControl w:val="1"/>
      </w:pPr>
      <w:r>
        <w:t>[ ] Clasificación, cifrado y DLP integrados, con gobierno de datos y auditoría</w:t>
      </w:r>
    </w:p>
    <w:p>
      <w:r>
        <w:rPr>
          <w:b/>
        </w:rPr>
        <w:t>P4.3.2. Capacidades de detección y respuesta (SOC, SIEM, EDR/XDR)</w:t>
      </w:r>
    </w:p>
    <w:p>
      <w:pPr>
        <w:pStyle w:val="ListBullet"/>
        <w:keepLines w:val="1"/>
        <w:keepNext w:val="1"/>
        <w:widowControl w:val="1"/>
      </w:pPr>
      <w:r>
        <w:t xml:space="preserve">[ ] Sin capacidades dedicadas (solo antivirus / firewall básico)  </w:t>
      </w:r>
    </w:p>
    <w:p>
      <w:pPr>
        <w:pStyle w:val="ListBullet"/>
        <w:keepLines w:val="1"/>
        <w:keepNext w:val="1"/>
        <w:widowControl w:val="1"/>
      </w:pPr>
      <w:r>
        <w:t xml:space="preserve">[ ] Monitorización parcial mediante registros y herramientas puntuales  </w:t>
      </w:r>
    </w:p>
    <w:p>
      <w:pPr>
        <w:pStyle w:val="ListBullet"/>
        <w:keepLines w:val="1"/>
        <w:keepNext w:val="1"/>
        <w:widowControl w:val="1"/>
      </w:pPr>
      <w:r>
        <w:t xml:space="preserve">[ ] SIEM centralizado con casos de uso básicos  </w:t>
      </w:r>
    </w:p>
    <w:p>
      <w:pPr>
        <w:pStyle w:val="ListBullet"/>
        <w:keepLines w:val="1"/>
        <w:keepNext w:val="1"/>
        <w:widowControl w:val="1"/>
      </w:pPr>
      <w:r>
        <w:t xml:space="preserve">[ ] SOC interno o servicio gestionado 24×7 con EDR/XDR  </w:t>
      </w:r>
    </w:p>
    <w:p>
      <w:pPr>
        <w:pStyle w:val="ListBullet"/>
        <w:keepLines w:val="1"/>
        <w:widowControl w:val="1"/>
      </w:pPr>
      <w:r>
        <w:t>[ ] SOC maduro con TI + OT, caza de amenazas y playbooks automatizados</w:t>
      </w:r>
    </w:p>
    <w:p>
      <w:pPr>
        <w:pStyle w:val="Heading2"/>
        <w:keepNext/>
        <w:keepLines/>
      </w:pPr>
      <w:r>
        <w:rPr>
          <w:color w:val="0066CC"/>
        </w:rPr>
        <w:t>5. Resiliencia, continuidad y respuesta a incidentes</w:t>
      </w:r>
    </w:p>
    <w:p>
      <w:pPr>
        <w:pStyle w:val="Heading3"/>
        <w:keepNext/>
        <w:keepLines/>
      </w:pPr>
      <w:r>
        <w:t>5.1. Planificación y pruebas</w:t>
      </w:r>
    </w:p>
    <w:p>
      <w:r>
        <w:rPr>
          <w:b/>
        </w:rPr>
        <w:t>P5.1.1. ¿La organización dispone de planes formales de respuesta a incidentes de ciberseguridad?</w:t>
      </w:r>
    </w:p>
    <w:p>
      <w:pPr>
        <w:pStyle w:val="ListBullet"/>
        <w:keepLines w:val="1"/>
        <w:keepNext w:val="1"/>
        <w:widowControl w:val="1"/>
      </w:pPr>
      <w:r>
        <w:t xml:space="preserve">[ ] No  </w:t>
      </w:r>
    </w:p>
    <w:p>
      <w:pPr>
        <w:pStyle w:val="ListBullet"/>
        <w:keepLines w:val="1"/>
        <w:keepNext w:val="1"/>
        <w:widowControl w:val="1"/>
      </w:pPr>
      <w:r>
        <w:t xml:space="preserve">[ ] Sí, borrador nunca utilizado (ni en pruebas, ni en tragedias)  </w:t>
      </w:r>
    </w:p>
    <w:p>
      <w:pPr>
        <w:pStyle w:val="ListBullet"/>
        <w:keepLines w:val="1"/>
        <w:keepNext w:val="1"/>
        <w:widowControl w:val="1"/>
      </w:pPr>
      <w:r>
        <w:t xml:space="preserve">[ ] Sí, probado mediante ejercicios de escritorio  </w:t>
      </w:r>
    </w:p>
    <w:p>
      <w:pPr>
        <w:pStyle w:val="ListBullet"/>
        <w:keepLines w:val="1"/>
        <w:keepNext w:val="1"/>
        <w:widowControl w:val="1"/>
      </w:pPr>
      <w:r>
        <w:t xml:space="preserve">[ ] Sí, probado mediante simulacros técnicos / red‑team / purple‑team  </w:t>
      </w:r>
    </w:p>
    <w:p>
      <w:pPr>
        <w:pStyle w:val="ListBullet"/>
        <w:keepLines w:val="1"/>
        <w:widowControl w:val="1"/>
      </w:pPr>
      <w:r>
        <w:t>[ ] Sí, con simulacros periódicos que involucran a negocio y alta dirección</w:t>
      </w:r>
    </w:p>
    <w:p>
      <w:r>
        <w:rPr>
          <w:b/>
        </w:rPr>
        <w:t>P5.1.2. ¿Existen planes de continuidad de negocio y recuperación ante desastres (BCP/DRP) que consideren ciberincidentes?</w:t>
      </w:r>
    </w:p>
    <w:p>
      <w:pPr>
        <w:pStyle w:val="ListBullet"/>
        <w:keepLines w:val="1"/>
        <w:keepNext w:val="1"/>
        <w:widowControl w:val="1"/>
      </w:pPr>
      <w:r>
        <w:t xml:space="preserve">[ ] No  </w:t>
      </w:r>
    </w:p>
    <w:p>
      <w:pPr>
        <w:pStyle w:val="ListBullet"/>
        <w:keepLines w:val="1"/>
        <w:keepNext w:val="1"/>
        <w:widowControl w:val="1"/>
      </w:pPr>
      <w:r>
        <w:t xml:space="preserve">[ ] Sí, pero no contemplan escenarios de ciberataque específicos  </w:t>
      </w:r>
    </w:p>
    <w:p>
      <w:pPr>
        <w:pStyle w:val="ListBullet"/>
        <w:keepLines w:val="1"/>
        <w:keepNext w:val="1"/>
        <w:widowControl w:val="1"/>
      </w:pPr>
      <w:r>
        <w:t xml:space="preserve">[ ] Sí, con algunos escenarios de ciberataque  </w:t>
      </w:r>
    </w:p>
    <w:p>
      <w:pPr>
        <w:pStyle w:val="ListBullet"/>
        <w:keepLines w:val="1"/>
        <w:keepNext w:val="1"/>
        <w:widowControl w:val="1"/>
      </w:pPr>
      <w:r>
        <w:t xml:space="preserve">[ ] Sí, con escenarios detallados por servicio crítico  </w:t>
      </w:r>
    </w:p>
    <w:p>
      <w:pPr>
        <w:pStyle w:val="ListBullet"/>
        <w:keepLines w:val="1"/>
        <w:widowControl w:val="1"/>
      </w:pPr>
      <w:r>
        <w:t>[ ] Sí, probados periódicamente con métricas de RTO/RPO y lecciones aprendidas</w:t>
      </w:r>
    </w:p>
    <w:p>
      <w:pPr>
        <w:pStyle w:val="Heading2"/>
        <w:keepNext/>
        <w:keepLines/>
      </w:pPr>
      <w:r>
        <w:rPr>
          <w:color w:val="0066CC"/>
        </w:rPr>
        <w:t>6. Inversión, IGM y ROI</w:t>
      </w:r>
    </w:p>
    <w:p>
      <w:r>
        <w:rPr>
          <w:b/>
        </w:rPr>
        <w:t>P6.1.1. Porcentaje aproximado del presupuesto de TI dedicado a ciberseguridad</w:t>
      </w:r>
    </w:p>
    <w:p>
      <w:pPr>
        <w:pStyle w:val="ListBullet"/>
        <w:keepLines w:val="1"/>
        <w:keepNext w:val="1"/>
        <w:widowControl w:val="1"/>
      </w:pPr>
      <w:r>
        <w:t xml:space="preserve">[ ] &lt; 5 %  </w:t>
      </w:r>
    </w:p>
    <w:p>
      <w:pPr>
        <w:pStyle w:val="ListBullet"/>
        <w:keepLines w:val="1"/>
        <w:keepNext w:val="1"/>
        <w:widowControl w:val="1"/>
      </w:pPr>
      <w:r>
        <w:t xml:space="preserve">[ ] 5–10 %  </w:t>
      </w:r>
    </w:p>
    <w:p>
      <w:pPr>
        <w:pStyle w:val="ListBullet"/>
        <w:keepLines w:val="1"/>
        <w:keepNext w:val="1"/>
        <w:widowControl w:val="1"/>
      </w:pPr>
      <w:r>
        <w:t xml:space="preserve">[ ] 10–15 %  </w:t>
      </w:r>
    </w:p>
    <w:p>
      <w:pPr>
        <w:pStyle w:val="ListBullet"/>
        <w:keepLines w:val="1"/>
        <w:keepNext w:val="1"/>
        <w:widowControl w:val="1"/>
      </w:pPr>
      <w:r>
        <w:t xml:space="preserve">[ ] 15–20 %  </w:t>
      </w:r>
    </w:p>
    <w:p>
      <w:pPr>
        <w:pStyle w:val="ListBullet"/>
        <w:keepLines w:val="1"/>
        <w:keepNext w:val="1"/>
        <w:widowControl w:val="1"/>
      </w:pPr>
      <w:r>
        <w:t xml:space="preserve">[ ] &gt; 20 %  </w:t>
      </w:r>
    </w:p>
    <w:p>
      <w:pPr>
        <w:pStyle w:val="ListBullet"/>
        <w:keepLines w:val="1"/>
        <w:widowControl w:val="1"/>
      </w:pPr>
      <w:r>
        <w:t>[ ] No se sabe / la pregunta es ofensiva</w:t>
      </w:r>
    </w:p>
    <w:p>
      <w:r>
        <w:rPr>
          <w:b/>
        </w:rPr>
        <w:t>P6.1.2. Evolución del presupuesto de ciberseguridad en los últimos 3 años</w:t>
      </w:r>
    </w:p>
    <w:p>
      <w:pPr>
        <w:pStyle w:val="ListBullet"/>
        <w:keepLines w:val="1"/>
        <w:keepNext w:val="1"/>
        <w:widowControl w:val="1"/>
      </w:pPr>
      <w:r>
        <w:t xml:space="preserve">[ ] Disminución neta  </w:t>
      </w:r>
    </w:p>
    <w:p>
      <w:pPr>
        <w:pStyle w:val="ListBullet"/>
        <w:keepLines w:val="1"/>
        <w:keepNext w:val="1"/>
        <w:widowControl w:val="1"/>
      </w:pPr>
      <w:r>
        <w:t xml:space="preserve">[ ] Estable  </w:t>
      </w:r>
    </w:p>
    <w:p>
      <w:pPr>
        <w:pStyle w:val="ListBullet"/>
        <w:keepLines w:val="1"/>
        <w:keepNext w:val="1"/>
        <w:widowControl w:val="1"/>
      </w:pPr>
      <w:r>
        <w:t xml:space="preserve">[ ] Aumento moderado (&lt; 10 % anual)  </w:t>
      </w:r>
    </w:p>
    <w:p>
      <w:pPr>
        <w:pStyle w:val="ListBullet"/>
        <w:keepLines w:val="1"/>
        <w:keepNext w:val="1"/>
        <w:widowControl w:val="1"/>
      </w:pPr>
      <w:r>
        <w:t xml:space="preserve">[ ] Aumento significativo (≥ 10 % anual)  </w:t>
      </w:r>
    </w:p>
    <w:p>
      <w:pPr>
        <w:pStyle w:val="ListBullet"/>
        <w:keepLines w:val="1"/>
        <w:widowControl w:val="1"/>
      </w:pPr>
      <w:r>
        <w:t>[ ] Volátil, depende de incidentes y sustos</w:t>
      </w:r>
    </w:p>
    <w:p>
      <w:r>
        <w:rPr>
          <w:b/>
        </w:rPr>
        <w:t>P6.1.3. ¿La organización evalúa el retorno de la inversión (ROI) en ciberseguridad?</w:t>
      </w:r>
    </w:p>
    <w:p>
      <w:pPr>
        <w:pStyle w:val="ListBullet"/>
        <w:keepLines w:val="1"/>
        <w:keepNext w:val="1"/>
        <w:widowControl w:val="1"/>
      </w:pPr>
      <w:r>
        <w:t xml:space="preserve">[ ] No  </w:t>
      </w:r>
    </w:p>
    <w:p>
      <w:pPr>
        <w:pStyle w:val="ListBullet"/>
        <w:keepLines w:val="1"/>
        <w:keepNext w:val="1"/>
        <w:widowControl w:val="1"/>
      </w:pPr>
      <w:r>
        <w:t xml:space="preserve">[ ] Sí, de forma cualitativa  </w:t>
      </w:r>
    </w:p>
    <w:p>
      <w:pPr>
        <w:pStyle w:val="ListBullet"/>
        <w:keepLines w:val="1"/>
        <w:keepNext w:val="1"/>
        <w:widowControl w:val="1"/>
      </w:pPr>
      <w:r>
        <w:t xml:space="preserve">[ ] Sí, en algunos proyectos concretos  </w:t>
      </w:r>
    </w:p>
    <w:p>
      <w:pPr>
        <w:pStyle w:val="ListBullet"/>
        <w:keepLines w:val="1"/>
        <w:keepNext w:val="1"/>
        <w:widowControl w:val="1"/>
      </w:pPr>
      <w:r>
        <w:t xml:space="preserve">[ ] Sí, con modelos cuantitativos (reducción de pérdida esperada, etc.)  </w:t>
      </w:r>
    </w:p>
    <w:p>
      <w:pPr>
        <w:pStyle w:val="ListBullet"/>
        <w:keepLines w:val="1"/>
        <w:widowControl w:val="1"/>
      </w:pPr>
      <w:r>
        <w:t>[ ] Sí, integrado en el proceso general de evaluación de inversiones corporativas</w:t>
      </w:r>
    </w:p>
    <w:p>
      <w:pPr>
        <w:pStyle w:val="Heading2"/>
        <w:keepNext/>
        <w:keepLines/>
      </w:pPr>
      <w:r>
        <w:rPr>
          <w:color w:val="0066CC"/>
        </w:rPr>
        <w:t>7. Cultura, formación y terceros</w:t>
      </w:r>
    </w:p>
    <w:p>
      <w:r>
        <w:rPr>
          <w:b/>
        </w:rPr>
        <w:t>P7.1.1. Formación y concienciación en ciberseguridad</w:t>
      </w:r>
    </w:p>
    <w:p>
      <w:pPr>
        <w:pStyle w:val="ListBullet"/>
        <w:keepLines w:val="1"/>
        <w:keepNext w:val="1"/>
        <w:widowControl w:val="1"/>
      </w:pPr>
      <w:r>
        <w:t xml:space="preserve">[ ] No se realiza formación  </w:t>
      </w:r>
    </w:p>
    <w:p>
      <w:pPr>
        <w:pStyle w:val="ListBullet"/>
        <w:keepLines w:val="1"/>
        <w:keepNext w:val="1"/>
        <w:widowControl w:val="1"/>
      </w:pPr>
      <w:r>
        <w:t xml:space="preserve">[ ] Formación puntual para algunos colectivos  </w:t>
      </w:r>
    </w:p>
    <w:p>
      <w:pPr>
        <w:pStyle w:val="ListBullet"/>
        <w:keepLines w:val="1"/>
        <w:keepNext w:val="1"/>
        <w:widowControl w:val="1"/>
      </w:pPr>
      <w:r>
        <w:t xml:space="preserve">[ ] Formación anual para la mayoría de empleados  </w:t>
      </w:r>
    </w:p>
    <w:p>
      <w:pPr>
        <w:pStyle w:val="ListBullet"/>
        <w:keepLines w:val="1"/>
        <w:keepNext w:val="1"/>
        <w:widowControl w:val="1"/>
      </w:pPr>
      <w:r>
        <w:t xml:space="preserve">[ ] Programas continuos, con simulaciones de phishing y métricas de mejora  </w:t>
      </w:r>
    </w:p>
    <w:p>
      <w:pPr>
        <w:pStyle w:val="ListBullet"/>
        <w:keepLines w:val="1"/>
        <w:widowControl w:val="1"/>
      </w:pPr>
      <w:r>
        <w:t>[ ] Formación específica para alta dirección, consejo y terceros críticos</w:t>
      </w:r>
    </w:p>
    <w:p>
      <w:r>
        <w:rPr>
          <w:b/>
        </w:rPr>
        <w:t>P7.1.2. Gestión de riesgos de terceros y cadena de suministro</w:t>
      </w:r>
    </w:p>
    <w:p>
      <w:pPr>
        <w:pStyle w:val="ListBullet"/>
        <w:keepLines w:val="1"/>
        <w:keepNext w:val="1"/>
        <w:widowControl w:val="1"/>
      </w:pPr>
      <w:r>
        <w:t xml:space="preserve">[ ] No se evalúa ciberseguridad de terceros  </w:t>
      </w:r>
    </w:p>
    <w:p>
      <w:pPr>
        <w:pStyle w:val="ListBullet"/>
        <w:keepLines w:val="1"/>
        <w:keepNext w:val="1"/>
        <w:widowControl w:val="1"/>
      </w:pPr>
      <w:r>
        <w:t xml:space="preserve">[ ] Se incluye en contratos cláusulas genéricas  </w:t>
      </w:r>
    </w:p>
    <w:p>
      <w:pPr>
        <w:pStyle w:val="ListBullet"/>
        <w:keepLines w:val="1"/>
        <w:keepNext w:val="1"/>
        <w:widowControl w:val="1"/>
      </w:pPr>
      <w:r>
        <w:t xml:space="preserve">[ ] Se utilizan cuestionarios básicos de seguridad  </w:t>
      </w:r>
    </w:p>
    <w:p>
      <w:pPr>
        <w:pStyle w:val="ListBullet"/>
        <w:keepLines w:val="1"/>
        <w:keepNext w:val="1"/>
        <w:widowControl w:val="1"/>
      </w:pPr>
      <w:r>
        <w:t xml:space="preserve">[ ] Se aplican evaluaciones periódicas de riesgo y auditorías a terceros críticos  </w:t>
      </w:r>
    </w:p>
    <w:p>
      <w:pPr>
        <w:pStyle w:val="ListBullet"/>
        <w:keepLines w:val="1"/>
        <w:widowControl w:val="1"/>
      </w:pPr>
      <w:r>
        <w:t>[ ] Se integran métricas de riesgo de terceros en el mapa de riesgos corporativo</w:t>
      </w:r>
    </w:p>
    <w:p>
      <w:pPr>
        <w:pStyle w:val="Heading2"/>
        <w:keepNext/>
        <w:keepLines/>
      </w:pPr>
      <w:r>
        <w:rPr>
          <w:color w:val="0066CC"/>
        </w:rPr>
        <w:t>8. Comentarios abiertos</w:t>
      </w:r>
    </w:p>
    <w:p>
      <w:r>
        <w:rPr>
          <w:b/>
        </w:rPr>
        <w:t>P8.1. ¿Qué le gustaría que la política nacional de ciberseguridad hiciera mejor para ayudar a organizaciones como la suya?</w:t>
      </w:r>
      <w:r/>
      <w:r>
        <w:br/>
        <w:t xml:space="preserve">Respuesta abierta:  </w:t>
      </w:r>
    </w:p>
    <w:p>
      <w:r>
        <w:rPr>
          <w:b/>
        </w:rPr>
        <w:t>P8.2. ¿Qué métrica de ciberseguridad le parece más útil para hablar con su consejo de administración sin que nadie se duerma?</w:t>
      </w:r>
      <w:r/>
      <w:r>
        <w:br/>
        <w:t xml:space="preserve">Respuesta abierta: 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