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cálculo de IGM y ROI bajo enfoque GQM + PRAGMATIC</w:t>
      </w:r>
    </w:p>
    <w:p>
      <w:r>
        <w:t>Versión 1.0 – 2026</w:t>
      </w:r>
    </w:p>
    <w:p>
      <w:pPr>
        <w:pStyle w:val="Heading2"/>
        <w:keepNext/>
        <w:keepLines/>
      </w:pPr>
      <w:r>
        <w:rPr>
          <w:color w:val="0066CC"/>
        </w:rPr>
        <w:t>1. Estructura de la hoja de cálculo</w:t>
      </w:r>
    </w:p>
    <w:p>
      <w:r>
        <w:t>Se recomienda estructurar el libro de trabajo en, al menos, las siguientes hojas:</w:t>
      </w:r>
    </w:p>
    <w:p>
      <w:pPr>
        <w:pStyle w:val="ListNumber"/>
        <w:keepLines w:val="1"/>
        <w:keepNext w:val="1"/>
        <w:widowControl w:val="1"/>
      </w:pPr>
      <w:r>
        <w:t xml:space="preserve">Meta_Diccionario – Definición de objetivos GQM, métricas e IDs.  </w:t>
      </w:r>
    </w:p>
    <w:p>
      <w:pPr>
        <w:pStyle w:val="ListNumber"/>
        <w:keepLines w:val="1"/>
        <w:keepNext w:val="1"/>
        <w:widowControl w:val="1"/>
      </w:pPr>
      <w:r>
        <w:t xml:space="preserve">Datos_Organizaciones – Respuestas y métricas calculadas por organización.  </w:t>
      </w:r>
    </w:p>
    <w:p>
      <w:pPr>
        <w:pStyle w:val="ListNumber"/>
        <w:keepLines w:val="1"/>
        <w:keepNext w:val="1"/>
        <w:widowControl w:val="1"/>
      </w:pPr>
      <w:r>
        <w:t xml:space="preserve">Ponderaciones – Pesos por métrica y dimensión.  </w:t>
      </w:r>
    </w:p>
    <w:p>
      <w:pPr>
        <w:pStyle w:val="ListNumber"/>
        <w:keepLines w:val="1"/>
        <w:keepNext w:val="1"/>
        <w:widowControl w:val="1"/>
      </w:pPr>
      <w:r>
        <w:t xml:space="preserve">IGM_Resultados – Cálculo de subíndices e IGM global.  </w:t>
      </w:r>
    </w:p>
    <w:p>
      <w:pPr>
        <w:pStyle w:val="ListNumber"/>
        <w:keepLines w:val="1"/>
        <w:keepNext w:val="1"/>
        <w:widowControl w:val="1"/>
      </w:pPr>
      <w:r>
        <w:t xml:space="preserve">ROI – Cálculo del retorno de inversión basado en cambio de madurez y pérdida esperada.  </w:t>
      </w:r>
    </w:p>
    <w:p>
      <w:pPr>
        <w:pStyle w:val="ListNumber"/>
        <w:keepLines w:val="1"/>
        <w:widowControl w:val="1"/>
      </w:pPr>
      <w:r>
        <w:t>Graficos – Visualizaciones para informes y presentaciones.</w:t>
      </w:r>
    </w:p>
    <w:p>
      <w:pPr>
        <w:pStyle w:val="Heading2"/>
        <w:keepNext/>
        <w:keepLines/>
      </w:pPr>
      <w:r>
        <w:rPr>
          <w:color w:val="0066CC"/>
        </w:rPr>
        <w:t>2. Hoja “Meta_Diccionario”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Objetivo_GQM (p. ej. GOB-1, RIESGO-1).  </w:t>
      </w:r>
    </w:p>
    <w:p>
      <w:pPr>
        <w:pStyle w:val="ListBullet"/>
        <w:keepLines w:val="1"/>
        <w:keepNext w:val="1"/>
        <w:widowControl w:val="1"/>
      </w:pPr>
      <w:r>
        <w:t xml:space="preserve">Metrica_ID (p. ej. GOB-1.1.a).  </w:t>
      </w:r>
    </w:p>
    <w:p>
      <w:pPr>
        <w:pStyle w:val="ListBullet"/>
        <w:keepLines w:val="1"/>
        <w:keepNext w:val="1"/>
        <w:widowControl w:val="1"/>
      </w:pPr>
      <w:r>
        <w:t xml:space="preserve">Descripción (texto).  </w:t>
      </w:r>
    </w:p>
    <w:p>
      <w:pPr>
        <w:pStyle w:val="ListBullet"/>
        <w:keepLines w:val="1"/>
        <w:keepNext w:val="1"/>
        <w:widowControl w:val="1"/>
      </w:pPr>
      <w:r>
        <w:t xml:space="preserve">Dominio (Gobernanza, Riesgo, Cumplimiento, Cap+Res, Inversión).  </w:t>
      </w:r>
    </w:p>
    <w:p>
      <w:pPr>
        <w:pStyle w:val="ListBullet"/>
        <w:keepLines w:val="1"/>
        <w:keepNext w:val="1"/>
        <w:widowControl w:val="1"/>
      </w:pPr>
      <w:r>
        <w:t xml:space="preserve">Unidad (% org., nº sectores, etc.).  </w:t>
      </w:r>
    </w:p>
    <w:p>
      <w:pPr>
        <w:pStyle w:val="ListBullet"/>
        <w:keepLines w:val="1"/>
        <w:keepNext w:val="1"/>
        <w:widowControl w:val="1"/>
      </w:pPr>
      <w:r>
        <w:t xml:space="preserve">Fuente (Encuesta GRC, otras estadísticas).  </w:t>
      </w:r>
    </w:p>
    <w:p>
      <w:pPr>
        <w:pStyle w:val="ListBullet"/>
        <w:keepLines w:val="1"/>
        <w:widowControl w:val="1"/>
      </w:pPr>
      <w:r>
        <w:t>Normativa_relacionada (resumen de mapeo).</w:t>
      </w:r>
    </w:p>
    <w:p>
      <w:r>
        <w:t>Esta hoja sirve como diccionario de indicadores para mantener coherencia entre versiones.</w:t>
      </w:r>
    </w:p>
    <w:p>
      <w:pPr>
        <w:pStyle w:val="Heading2"/>
        <w:keepNext/>
        <w:keepLines/>
      </w:pPr>
      <w:r>
        <w:rPr>
          <w:color w:val="0066CC"/>
        </w:rPr>
        <w:t>3. Hoja “Datos_Organizaciones”</w:t>
      </w:r>
    </w:p>
    <w:p>
      <w:r>
        <w:t>Cada fila representa una organización encuestada. Columnas:</w:t>
      </w:r>
    </w:p>
    <w:p>
      <w:pPr>
        <w:pStyle w:val="ListBullet"/>
        <w:keepLines w:val="1"/>
        <w:keepNext w:val="1"/>
        <w:widowControl w:val="1"/>
      </w:pPr>
      <w:r>
        <w:t xml:space="preserve">ID_Org </w:t>
      </w:r>
    </w:p>
    <w:p>
      <w:pPr>
        <w:pStyle w:val="ListBullet"/>
        <w:keepLines w:val="1"/>
        <w:keepNext w:val="1"/>
        <w:widowControl w:val="1"/>
      </w:pPr>
      <w:r>
        <w:t xml:space="preserve">Sector </w:t>
      </w:r>
    </w:p>
    <w:p>
      <w:pPr>
        <w:pStyle w:val="ListBullet"/>
        <w:keepLines w:val="1"/>
        <w:keepNext w:val="1"/>
        <w:widowControl w:val="1"/>
      </w:pPr>
      <w:r>
        <w:t xml:space="preserve">Tamaño </w:t>
      </w:r>
    </w:p>
    <w:p>
      <w:pPr>
        <w:pStyle w:val="ListBullet"/>
        <w:keepLines w:val="1"/>
        <w:keepNext w:val="1"/>
        <w:widowControl w:val="1"/>
      </w:pPr>
      <w:r>
        <w:t xml:space="preserve">Criticidad (por ejemplo, 1–3 según NIS2).  </w:t>
      </w:r>
    </w:p>
    <w:p>
      <w:pPr>
        <w:pStyle w:val="ListBullet"/>
        <w:keepLines w:val="1"/>
        <w:keepNext w:val="1"/>
        <w:widowControl w:val="1"/>
      </w:pPr>
      <w:r>
        <w:br/>
        <w:t>Luego, una columna por métrica relevante, por ejemplo: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GOB_1_1_a – 1 si la organización tiene estrategia aprobada en últimos 3 años, 0 si no.  </w:t>
        <w:br/>
      </w:r>
    </w:p>
    <w:p>
      <w:pPr>
        <w:pStyle w:val="ListBullet"/>
        <w:keepLines w:val="1"/>
        <w:keepNext w:val="1"/>
        <w:widowControl w:val="1"/>
      </w:pPr>
      <w:r>
        <w:t xml:space="preserve">GOB_1_2_a – 1 si CISO con acceso regular al consejo, 0 si no.  </w:t>
      </w:r>
    </w:p>
    <w:p>
      <w:pPr>
        <w:pStyle w:val="ListBullet"/>
        <w:keepLines w:val="1"/>
        <w:keepNext w:val="1"/>
        <w:widowControl w:val="1"/>
      </w:pPr>
      <w:r>
        <w:t xml:space="preserve">CAP_1_1_a – 0–4 según nivel de cobertura MFA (segmentado y normalizado).  </w:t>
      </w:r>
    </w:p>
    <w:p>
      <w:pPr>
        <w:pStyle w:val="ListBullet"/>
        <w:keepLines w:val="1"/>
        <w:widowControl w:val="1"/>
      </w:pPr>
      <w:r>
        <w:t>Etc.</w:t>
      </w:r>
    </w:p>
    <w:p>
      <w:r>
        <w:t>Luego, una columna por métrica relevante, por ejemplo:</w:t>
      </w:r>
    </w:p>
    <w:p>
      <w:r>
        <w:rPr>
          <w:rFonts w:ascii="Courier New" w:hAnsi="Courier New"/>
          <w:sz w:val="18"/>
        </w:rPr>
        <w:t>GOB_1_1_a</w:t>
      </w:r>
      <w:r>
        <w:t xml:space="preserve"> – 1 si la organización tiene estrategia aprobada en últimos 3 años, 0 si no.  </w:t>
      </w:r>
    </w:p>
    <w:p>
      <w:r>
        <w:t>En muchos casos, la métrica será una transformación de respuestas de opción múltiple (por ejemplo, asignando puntajes).</w:t>
      </w:r>
    </w:p>
    <w:p>
      <w:pPr>
        <w:pStyle w:val="Heading2"/>
        <w:keepNext/>
        <w:keepLines/>
      </w:pPr>
      <w:r>
        <w:rPr>
          <w:color w:val="0066CC"/>
        </w:rPr>
        <w:t>4. Hoja “Ponderaciones”</w:t>
      </w:r>
    </w:p>
    <w:p>
      <w:r>
        <w:t>Tabla con:</w:t>
      </w:r>
    </w:p>
    <w:p>
      <w:pPr>
        <w:pStyle w:val="ListBullet"/>
        <w:keepLines w:val="1"/>
        <w:keepNext w:val="1"/>
        <w:widowControl w:val="1"/>
      </w:pPr>
      <w:r>
        <w:t xml:space="preserve">Metrica_ID </w:t>
      </w:r>
    </w:p>
    <w:p>
      <w:pPr>
        <w:pStyle w:val="ListBullet"/>
        <w:keepLines w:val="1"/>
        <w:keepNext w:val="1"/>
        <w:widowControl w:val="1"/>
      </w:pPr>
      <w:r>
        <w:t xml:space="preserve">Dimension (IG_GOB, IG_RIESGO, IG_CUMP, IG_CAPRES, IG_INV).  </w:t>
      </w:r>
    </w:p>
    <w:p>
      <w:pPr>
        <w:pStyle w:val="ListBullet"/>
        <w:keepLines w:val="1"/>
        <w:keepNext w:val="1"/>
        <w:widowControl w:val="1"/>
      </w:pPr>
      <w:r>
        <w:t xml:space="preserve">Peso_en_dimension (0–1, suma por dimensión = 1).  </w:t>
      </w:r>
    </w:p>
    <w:p>
      <w:pPr>
        <w:pStyle w:val="ListBullet"/>
        <w:keepLines w:val="1"/>
        <w:widowControl w:val="1"/>
      </w:pPr>
      <w:r>
        <w:t>Peso_global (opcional).</w:t>
      </w:r>
    </w:p>
    <w:p>
      <w:r>
        <w:t>Ejemplo: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Metrica_ID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Peso_en_dimension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GOB-1.1.a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IG_GOB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GOB-1.2.a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IG_GOB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GOB-1.3.a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IG_GOB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0,50</w:t>
            </w:r>
          </w:p>
        </w:tc>
      </w:tr>
    </w:tbl>
    <w:p/>
    <w:p>
      <w:r>
        <w:t>Los pesos pueden ajustarse según relevancia normativa y PRAGMATIC.</w:t>
      </w:r>
    </w:p>
    <w:p>
      <w:pPr>
        <w:pStyle w:val="Heading2"/>
        <w:keepNext/>
        <w:keepLines/>
      </w:pPr>
      <w:r>
        <w:rPr>
          <w:color w:val="0066CC"/>
        </w:rPr>
        <w:t>5. Hoja “IGM_Resultados”</w:t>
      </w:r>
    </w:p>
    <w:p>
      <w:pPr>
        <w:pStyle w:val="Heading3"/>
        <w:keepNext/>
        <w:keepLines/>
      </w:pPr>
      <w:r>
        <w:t>5.1. Cálculo de subíndices por dimensión</w:t>
      </w:r>
    </w:p>
    <w:p>
      <w:r>
        <w:t>Para cada organización:</w:t>
      </w:r>
    </w:p>
    <w:p>
      <w:pPr>
        <w:pStyle w:val="ListBullet"/>
        <w:keepLines w:val="1"/>
        <w:keepNext w:val="1"/>
        <w:widowControl w:val="1"/>
      </w:pPr>
      <w:r>
        <w:t xml:space="preserve">Seleccionar las métricas asociadas a cada dimensión (según Ponderaciones).  </w:t>
      </w:r>
    </w:p>
    <w:p>
      <w:pPr>
        <w:pStyle w:val="ListBullet"/>
        <w:keepLines w:val="1"/>
        <w:widowControl w:val="1"/>
      </w:pPr>
      <w:r>
        <w:t>Calcular subíndice como media ponderada:</w:t>
      </w:r>
    </w:p>
    <w:p>
      <w:r>
        <w:rPr>
          <w:rFonts w:ascii="Courier New" w:hAnsi="Courier New"/>
          <w:sz w:val="18"/>
        </w:rPr>
        <w:t>IG_GOB_raw = SUMPRODUCT(Valores_métricas_GOB; Pesos_métricas_GOB) / SUM(Pesos_métricas_GOB)</w:t>
      </w:r>
    </w:p>
    <w:p>
      <w:r>
        <w:t>Repetir para RIESGO, CUMP, CAPRES, INV.</w:t>
      </w:r>
    </w:p>
    <w:p>
      <w:pPr>
        <w:pStyle w:val="Heading3"/>
        <w:keepNext/>
        <w:keepLines/>
      </w:pPr>
      <w:r>
        <w:t>5.2. Normalización</w:t>
      </w:r>
    </w:p>
    <w:p>
      <w:r>
        <w:t>Definir, para cada dimensión, el valor máximo posible teórico (</w:t>
      </w:r>
      <w:r>
        <w:rPr>
          <w:rFonts w:ascii="Courier New" w:hAnsi="Courier New"/>
          <w:sz w:val="18"/>
        </w:rPr>
        <w:t>Max_GOB</w:t>
      </w:r>
      <w:r>
        <w:t>, etc.). Luego:</w:t>
      </w:r>
    </w:p>
    <w:p>
      <w:r>
        <w:rPr>
          <w:rFonts w:ascii="Courier New" w:hAnsi="Courier New"/>
          <w:sz w:val="18"/>
        </w:rPr>
        <w:t>IG_GOB = IG_GOB_raw * (100 / Max_GOB)</w:t>
      </w:r>
    </w:p>
    <w:p>
      <w:r>
        <w:t>De este modo, cada subíndice se expresa en escala 0–100.</w:t>
      </w:r>
    </w:p>
    <w:p>
      <w:pPr>
        <w:pStyle w:val="Heading3"/>
        <w:keepNext/>
        <w:keepLines/>
      </w:pPr>
      <w:r>
        <w:t>5.3. Índice Global de Madurez (IGM)</w:t>
      </w:r>
    </w:p>
    <w:p>
      <w:r>
        <w:t>Definir pesos para cada dimensión (por ejemplo):</w:t>
      </w:r>
    </w:p>
    <w:p>
      <w:pPr>
        <w:pStyle w:val="ListBullet"/>
        <w:keepLines w:val="1"/>
        <w:keepNext w:val="1"/>
        <w:widowControl w:val="1"/>
      </w:pPr>
      <w:r>
        <w:t xml:space="preserve">GOB: 20 %  </w:t>
      </w:r>
    </w:p>
    <w:p>
      <w:pPr>
        <w:pStyle w:val="ListBullet"/>
        <w:keepLines w:val="1"/>
        <w:keepNext w:val="1"/>
        <w:widowControl w:val="1"/>
      </w:pPr>
      <w:r>
        <w:t xml:space="preserve">RIESGO: 20 %  </w:t>
      </w:r>
    </w:p>
    <w:p>
      <w:pPr>
        <w:pStyle w:val="ListBullet"/>
        <w:keepLines w:val="1"/>
        <w:keepNext w:val="1"/>
        <w:widowControl w:val="1"/>
      </w:pPr>
      <w:r>
        <w:t xml:space="preserve">CUMP: 20 %  </w:t>
      </w:r>
    </w:p>
    <w:p>
      <w:pPr>
        <w:pStyle w:val="ListBullet"/>
        <w:keepLines w:val="1"/>
        <w:keepNext w:val="1"/>
        <w:widowControl w:val="1"/>
      </w:pPr>
      <w:r>
        <w:t xml:space="preserve">CAPRES: 30 %  </w:t>
      </w:r>
    </w:p>
    <w:p>
      <w:pPr>
        <w:pStyle w:val="ListBullet"/>
        <w:keepLines w:val="1"/>
        <w:widowControl w:val="1"/>
      </w:pPr>
      <w:r>
        <w:t>INV: 10 %</w:t>
      </w:r>
    </w:p>
    <w:p>
      <w:r>
        <w:t>Entonces:</w:t>
      </w:r>
    </w:p>
    <w:p>
      <w:r>
        <w:rPr>
          <w:rFonts w:ascii="Courier New" w:hAnsi="Courier New"/>
          <w:sz w:val="18"/>
        </w:rPr>
        <w:t>IGM = IG_GOB*0,2 + IG_RIESGO*0,2 + IG_CUMP*0,2 + IG_CAPRES*0,3 + IG_INV*0,1</w:t>
      </w:r>
    </w:p>
    <w:p>
      <w:r>
        <w:t>Esta fórmula puede ajustarse según prioridades nacionales o sectoriales.</w:t>
      </w:r>
    </w:p>
    <w:p>
      <w:pPr>
        <w:pStyle w:val="Heading2"/>
        <w:keepNext/>
        <w:keepLines/>
      </w:pPr>
      <w:r>
        <w:rPr>
          <w:color w:val="0066CC"/>
        </w:rPr>
        <w:t>6. Hoja “ROI”</w:t>
      </w:r>
    </w:p>
    <w:p>
      <w:pPr>
        <w:pStyle w:val="Heading3"/>
        <w:keepNext/>
        <w:keepLines/>
      </w:pPr>
      <w:r>
        <w:t>6.1. Variables clave</w:t>
      </w:r>
    </w:p>
    <w:p>
      <w:r>
        <w:t>Por organización y año (si se disponen datos longitudinales):</w:t>
      </w:r>
    </w:p>
    <w:p>
      <w:pPr>
        <w:pStyle w:val="ListBullet"/>
        <w:keepLines w:val="1"/>
        <w:keepNext w:val="1"/>
        <w:widowControl w:val="1"/>
      </w:pPr>
      <w:r>
        <w:t xml:space="preserve">IGM_t0, IGM_t1 – Índices de madurez en dos momentos.  </w:t>
      </w:r>
    </w:p>
    <w:p>
      <w:pPr>
        <w:pStyle w:val="ListBullet"/>
        <w:keepLines w:val="1"/>
        <w:keepNext w:val="1"/>
        <w:widowControl w:val="1"/>
      </w:pPr>
      <w:r>
        <w:t xml:space="preserve">Coste_Ciber_t0, Coste_Ciber_t1 – Coste anual de ciberseguridad.  </w:t>
      </w:r>
    </w:p>
    <w:p>
      <w:pPr>
        <w:pStyle w:val="ListBullet"/>
        <w:keepLines w:val="1"/>
        <w:keepNext w:val="1"/>
        <w:widowControl w:val="1"/>
      </w:pPr>
      <w:r>
        <w:t xml:space="preserve">Incidentes_Graves_t0, Incidentes_Graves_t1 – Número y/o coste estimado de incidentes graves.  </w:t>
      </w:r>
    </w:p>
    <w:p>
      <w:pPr>
        <w:pStyle w:val="ListBullet"/>
        <w:keepLines w:val="1"/>
        <w:widowControl w:val="1"/>
      </w:pPr>
      <w:r>
        <w:t>ALE_t0, ALE_t1 – Pérdida anual esperada, si está disponible.</w:t>
      </w:r>
    </w:p>
    <w:p>
      <w:pPr>
        <w:pStyle w:val="Heading3"/>
        <w:keepNext/>
        <w:keepLines/>
      </w:pPr>
      <w:r>
        <w:t>6.2. Modelo simple de beneficio</w:t>
      </w:r>
    </w:p>
    <w:p>
      <w:r>
        <w:t>Cuando se dispone de ALE:</w:t>
      </w:r>
    </w:p>
    <w:p>
      <w:pPr>
        <w:pStyle w:val="ListBullet"/>
        <w:keepLines w:val="1"/>
        <w:keepNext w:val="1"/>
        <w:widowControl w:val="1"/>
      </w:pPr>
      <w:r>
        <w:t xml:space="preserve">Beneficio = ALE_t0 – ALE_t1 </w:t>
      </w:r>
    </w:p>
    <w:p>
      <w:pPr>
        <w:pStyle w:val="ListBullet"/>
        <w:keepLines w:val="1"/>
        <w:keepNext w:val="1"/>
        <w:widowControl w:val="1"/>
      </w:pPr>
      <w:r>
        <w:t xml:space="preserve">Inversion = Coste_Ciber_t1 – Coste_Ciber_t0 (o solo Coste_Ciber_t1 si se analiza un año)  </w:t>
      </w:r>
    </w:p>
    <w:p>
      <w:pPr>
        <w:pStyle w:val="ListBullet"/>
        <w:keepLines w:val="1"/>
        <w:widowControl w:val="1"/>
      </w:pPr>
      <w:r>
        <w:t>ROI = (Beneficio – Inversion) / Inversion</w:t>
      </w:r>
    </w:p>
    <w:p>
      <w:r>
        <w:t>Cuando no se dispone de ALE, puede usarse un modelo aproximado:</w:t>
      </w:r>
    </w:p>
    <w:p>
      <w:pPr>
        <w:pStyle w:val="ListBullet"/>
        <w:keepLines w:val="1"/>
        <w:keepNext w:val="1"/>
        <w:widowControl w:val="1"/>
      </w:pPr>
      <w:r>
        <w:t xml:space="preserve">Suponer que un aumento ΔIGM reduce proporcionalmente la probabilidad de incidentes graves dentro de un rango prudente.  </w:t>
      </w:r>
    </w:p>
    <w:p>
      <w:pPr>
        <w:pStyle w:val="ListBullet"/>
        <w:keepLines w:val="1"/>
        <w:keepNext w:val="1"/>
        <w:widowControl w:val="1"/>
      </w:pPr>
      <w:r>
        <w:t xml:space="preserve">Estimar la pérdida media de un incidente grave a partir de históricos sectoriales.  </w:t>
      </w:r>
    </w:p>
    <w:p>
      <w:pPr>
        <w:pStyle w:val="ListBullet"/>
        <w:keepLines w:val="1"/>
        <w:widowControl w:val="1"/>
      </w:pPr>
      <w:r>
        <w:t>Derivar un beneficio aproximado como Beneficio ≈ ΔProbabilidad * L * Número_esperado_incidentes.</w:t>
      </w:r>
    </w:p>
    <w:p>
      <w:pPr>
        <w:pStyle w:val="Heading3"/>
        <w:keepNext/>
        <w:keepLines/>
      </w:pPr>
      <w:r>
        <w:t>6.3. Enfoques de sensibilidad</w:t>
      </w:r>
    </w:p>
    <w:p>
      <w:r>
        <w:t>La hoja puede incluir tres escenarios (optimista, conservador, pesimista) ajustando:</w:t>
      </w:r>
    </w:p>
    <w:p>
      <w:pPr>
        <w:pStyle w:val="ListBullet"/>
        <w:keepLines w:val="1"/>
        <w:keepNext w:val="1"/>
        <w:widowControl w:val="1"/>
      </w:pPr>
      <w:r>
        <w:t xml:space="preserve">Probabilidad de incidentes.  </w:t>
      </w:r>
    </w:p>
    <w:p>
      <w:pPr>
        <w:pStyle w:val="ListBullet"/>
        <w:keepLines w:val="1"/>
        <w:keepNext w:val="1"/>
        <w:widowControl w:val="1"/>
      </w:pPr>
      <w:r>
        <w:t xml:space="preserve">Costes por incidente.  </w:t>
      </w:r>
    </w:p>
    <w:p>
      <w:pPr>
        <w:pStyle w:val="ListBullet"/>
        <w:keepLines w:val="1"/>
        <w:widowControl w:val="1"/>
      </w:pPr>
      <w:r>
        <w:t>Relación entre IGM y probabilidad.</w:t>
      </w:r>
    </w:p>
    <w:p>
      <w:r>
        <w:t>Los parámetros se concentran en una tabla de supuestos para facilitar su revisión.</w:t>
      </w:r>
    </w:p>
    <w:p>
      <w:pPr>
        <w:pStyle w:val="Heading2"/>
        <w:keepNext/>
        <w:keepLines/>
      </w:pPr>
      <w:r>
        <w:rPr>
          <w:color w:val="0066CC"/>
        </w:rPr>
        <w:t>7. Hoja “Graficos”</w:t>
      </w:r>
    </w:p>
    <w:p>
      <w:r>
        <w:t>Gráficos recomendados:</w:t>
      </w:r>
    </w:p>
    <w:p>
      <w:pPr>
        <w:pStyle w:val="ListBullet"/>
        <w:keepLines w:val="1"/>
        <w:keepNext w:val="1"/>
        <w:widowControl w:val="1"/>
      </w:pPr>
      <w:r>
        <w:t xml:space="preserve">Barras: IGM medio por sector.  </w:t>
      </w:r>
    </w:p>
    <w:p>
      <w:pPr>
        <w:pStyle w:val="ListBullet"/>
        <w:keepLines w:val="1"/>
        <w:keepNext w:val="1"/>
        <w:widowControl w:val="1"/>
      </w:pPr>
      <w:r>
        <w:t xml:space="preserve">Dispersión: IGM vs. % presupuesto TIC en ciberseguridad.  </w:t>
      </w:r>
    </w:p>
    <w:p>
      <w:pPr>
        <w:pStyle w:val="ListBullet"/>
        <w:keepLines w:val="1"/>
        <w:keepNext w:val="1"/>
        <w:widowControl w:val="1"/>
      </w:pPr>
      <w:r>
        <w:t xml:space="preserve">Burbujas: criticidad vs. madurez vs. tamaño de organización.  </w:t>
      </w:r>
    </w:p>
    <w:p>
      <w:pPr>
        <w:pStyle w:val="ListBullet"/>
        <w:keepLines w:val="1"/>
        <w:widowControl w:val="1"/>
      </w:pPr>
      <w:r>
        <w:t>Líneas: evolución temporal de IGM para organizaciones o sectores que repitan encuesta.</w:t>
      </w:r>
    </w:p>
    <w:p>
      <w:r>
        <w:t>Estos gráficos alimentan directamente la plantilla de reporte ejecutivo.</w:t>
      </w:r>
    </w:p>
    <w:p>
      <w:pPr>
        <w:pStyle w:val="Heading2"/>
        <w:keepNext/>
        <w:keepLines/>
      </w:pPr>
      <w:r>
        <w:rPr>
          <w:color w:val="0066CC"/>
        </w:rPr>
        <w:t>8. Relación con GQM + PRAGMATIC</w:t>
      </w:r>
    </w:p>
    <w:p>
      <w:r>
        <w:t xml:space="preserve">La plantilla de Excel no inventa métricas por su cuenta: solo implementa y agrega las definidas en el marco GQM y filtradas por PRAGMATIC. Toda nueva métrica que se quiera añadir debe estar primero descrita en </w:t>
      </w:r>
      <w:r>
        <w:rPr>
          <w:rFonts w:ascii="Courier New" w:hAnsi="Courier New"/>
          <w:sz w:val="18"/>
        </w:rPr>
        <w:t>Meta_Diccionario</w:t>
      </w:r>
      <w:r>
        <w:t xml:space="preserve"> y mapeada normativamente, evitando así la proliferación de indicadores de dudosa utilidad.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