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Informe GRC.</w:t>
      </w:r>
    </w:p>
    <w:p>
      <w:r>
        <w:t>El informe GRC de ciberseguridad que planteas, aplicado a España pero con vocación comparada, hoy se escribe —para bien o para susto— con un idioma muy claro: métricas, indicadores y cuadros de mando que ya no se conforman con contar “cuántos incidentes hubo”, sino que pretenden medir madurez sistémica, alineamiento regulatorio y resiliencia socio‑técnica a escala país. Voy a estructurar la respuesta en torno a los grandes bloques de GRC (Gobernanza, Riesgo, Cumplimiento), aterrizando en indicadores concretos y en cómo se están viendo en España en el contexto europeo y global desde 2025.</w:t>
      </w:r>
      <w:r/>
      <w:r>
        <w:rPr/>
        <w:footnoteReference w:id="1"/>
      </w:r>
      <w:r/>
      <w:r>
        <w:rPr/>
        <w:footnoteReference w:id="2"/>
      </w:r>
    </w:p>
    <w:p>
      <w:pPr>
        <w:pStyle w:val="Heading2"/>
        <w:keepNext/>
        <w:keepLines/>
      </w:pPr>
      <w:r>
        <w:rPr>
          <w:color w:val="0066CC"/>
        </w:rPr>
        <w:t>1. Contexto 2025–2026: el nuevo “idioma” de las métricas país</w:t>
      </w:r>
    </w:p>
    <w:p>
      <w:r>
        <w:t>Desde 2025, el debate serio sobre indicadores GRC de ciberseguridad a nivel nacional se ha desplazado desde el recuento de incidentes hacia tres obsesiones: medir madurez, medir criticidad sectorial y medir preparación frente a nuevas tecnologías (nube, 5G, IA, cuántica). ENISA con su marco NIS360, NIST con la extensión de la función “Govern” en el CSF, y los índices industriales (por ejemplo, el Cisco Cybersecurity Readiness Index) son los grandes fabricantes de este idioma común.</w:t>
      </w:r>
      <w:r/>
      <w:r>
        <w:rPr/>
        <w:footnoteReference w:id="3"/>
      </w:r>
      <w:r/>
      <w:r>
        <w:rPr/>
        <w:footnoteReference w:id="2"/>
      </w:r>
      <w:r/>
      <w:r>
        <w:rPr/>
        <w:footnoteReference w:id="4"/>
      </w:r>
      <w:r/>
      <w:r>
        <w:rPr/>
        <w:footnoteReference w:id="1"/>
      </w:r>
    </w:p>
    <w:p>
      <w:r>
        <w:t>En España, este cambio se injerta sobre una estrategia ya relativamente consolidada: Estrategia Nacional de Ciberseguridad, Plan Nacional de Ciberseguridad, España Digital 2025 y la revisión en marcha hacia 2026, más la adaptación a NIS2, DORA y al “Digital Decade Country Report” de la Comisión. El resultado es que los indicadores GRC “nacionales” ya no se discuten solo en INCIBE o CCN, sino que empiezan a cruzarse con indicadores de política industrial, empleo digital y resiliencia de servicios esenciales.</w:t>
      </w:r>
      <w:r/>
      <w:r>
        <w:rPr/>
        <w:footnoteReference w:id="5"/>
      </w:r>
      <w:r/>
      <w:r>
        <w:rPr/>
        <w:footnoteReference w:id="6"/>
      </w:r>
      <w:r/>
      <w:r>
        <w:rPr/>
        <w:footnoteReference w:id="7"/>
      </w:r>
      <w:r/>
      <w:r>
        <w:rPr/>
        <w:footnoteReference w:id="8"/>
      </w:r>
    </w:p>
    <w:p>
      <w:pPr>
        <w:pStyle w:val="Heading2"/>
        <w:keepNext/>
        <w:keepLines/>
      </w:pPr>
      <w:r>
        <w:rPr>
          <w:color w:val="0066CC"/>
        </w:rPr>
        <w:t>2. Gobernanza: del “PowerPoint estratégico” al indicador duro</w:t>
      </w:r>
    </w:p>
    <w:p>
      <w:r>
        <w:t>En la dimensión de Gobernanza, la tendencia global desde 2025 es introducir métricas que ya no hablan de buena voluntad, sino de estructuras efectivas y trazables de responsabilidad, supervisión y coordinación interinstitucional. Los marcos de referencia son claros:</w:t>
      </w:r>
      <w:r/>
      <w:r>
        <w:rPr/>
        <w:footnoteReference w:id="4"/>
      </w:r>
      <w:r/>
      <w:r>
        <w:rPr/>
        <w:footnoteReference w:id="1"/>
      </w:r>
    </w:p>
    <w:p>
      <w:pPr>
        <w:pStyle w:val="ListNumber"/>
        <w:keepLines w:val="1"/>
        <w:keepNext w:val="1"/>
        <w:widowControl w:val="1"/>
      </w:pPr>
      <w:r>
        <w:t>NIST Cybersecurity Framework 2.0 incorpora de forma explícita la función “Govern”, que exige mostrar evidencias de gobernanza (políticas, roles, apetito de riesgo, supervisión, métricas de rendimiento y de riesgo).94</w:t>
      </w:r>
    </w:p>
    <w:p>
      <w:pPr>
        <w:pStyle w:val="ListNumber"/>
        <w:keepLines w:val="1"/>
        <w:keepNext w:val="1"/>
        <w:widowControl w:val="1"/>
      </w:pPr>
      <w:r>
        <w:t>ENISA, a través de NIS2 y NIS360, empuja a los Estados miembros a medir madurez sectorial, criticidad y brecha entre ambas, con indicadores estructurados que permiten comparaciones directas entre países y sectores.21</w:t>
      </w:r>
    </w:p>
    <w:p>
      <w:pPr>
        <w:pStyle w:val="ListNumber"/>
        <w:keepLines w:val="1"/>
        <w:widowControl w:val="1"/>
      </w:pPr>
      <w:r>
        <w:t>La Comisión Europea, con los informes “Digital Decade Country Report 2025”, obliga a los Estados a rendir cuentas sobre capacidades digitales, incluyendo ciberseguridad, como parte de los indicadores de la Década Digital.5</w:t>
      </w:r>
    </w:p>
    <w:p>
      <w:r>
        <w:t>En España, estos marcos se traducen en varios tipos de indicadores de gobernanza a nivel nacional:</w:t>
      </w:r>
    </w:p>
    <w:p>
      <w:pPr>
        <w:pStyle w:val="ListBullet"/>
        <w:keepLines w:val="1"/>
        <w:keepNext w:val="1"/>
        <w:widowControl w:val="1"/>
      </w:pPr>
      <w:r>
        <w:t>Estado de la arquitectura institucional: existencia de un marco legal y organizativo “robusto” y reconocido, con agencias claras (INCIBE, CCN, Mando Conjunto del Ciberespacio, Agencia de Ciberseguridad de referencia).8</w:t>
      </w:r>
    </w:p>
    <w:p>
      <w:pPr>
        <w:pStyle w:val="ListBullet"/>
        <w:keepLines w:val="1"/>
        <w:keepNext w:val="1"/>
        <w:widowControl w:val="1"/>
      </w:pPr>
      <w:r>
        <w:t>Nivel de coordinación y centralización: creación del Centro Nacional de Ciberseguridad adscrito a Presidencia, que busca integrar visión estratégica, inteligencia y coordinación operativa.8</w:t>
      </w:r>
    </w:p>
    <w:p>
      <w:pPr>
        <w:pStyle w:val="ListBullet"/>
        <w:keepLines w:val="1"/>
        <w:widowControl w:val="1"/>
      </w:pPr>
      <w:r>
        <w:t>Integración en el marco europeo e internacional: clasificación de España como país TIER 1 en el Global Cybersecurity Index de la UIT y alineamiento con NIS2, DORA y el resto de paquetes digitales de la UE.28</w:t>
      </w:r>
    </w:p>
    <w:p>
      <w:r>
        <w:t>Un ejemplo de cómo estos indicadores se miden en la práctica es la forma en que ENISA presenta las evaluaciones de madurez NIS360: se asigna una puntuación de madurez y una de criticidad a cada sector (energía, banca, salud, telecomunicaciones), y a partir de ahí se define una “zona de riesgo” donde la criticidad nacional supera la madurez de ciberseguridad. Esto no es una simple foto, sino un mapa de gobernanza: indica dónde el Estado tiene la obligación de intensificar supervisión, inversión y coordinación.</w:t>
      </w:r>
      <w:r/>
      <w:r>
        <w:rPr/>
        <w:footnoteReference w:id="1"/>
      </w:r>
      <w:r/>
      <w:r>
        <w:rPr/>
        <w:footnoteReference w:id="2"/>
      </w:r>
    </w:p>
    <w:p>
      <w:pPr>
        <w:pStyle w:val="Heading3"/>
        <w:keepNext/>
        <w:keepLines/>
      </w:pPr>
      <w:r>
        <w:t>Tabla: ejemplos de indicadores de gobernanza a nivel país (España vs. enfoque global)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España (ejemplos recientes)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Tendencia global post‑2025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Marco institucional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INCIBE, CCN, Mando Conjunto, creación Centro Nacional de Ciberseguridad.8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Consolidación de “National Cybersecurity Centers” como nodo único de coordinación.1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Clasificación internacional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TIER 1 en Global Cybersecurity Index UIT.8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Uso de GCI, NIS360 y otros índices para benchmarking entre países.2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Estrategia nacional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Revisión de Estrategia Nacional de Ciberseguridad integrada en España Digital 2026.87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Estrategias revisadas para incorporar NIS2, IA, cuántica y resiliencia crítica.1</w:t>
            </w:r>
          </w:p>
        </w:tc>
      </w:tr>
    </w:tbl>
    <w:p/>
    <w:p>
      <w:r>
        <w:t>La ironía inevitable es que medimos la “buena gobernanza” a golpe de PDF y tabla comparativa, pero la verdadera métrica de gobernanza, por incómodo que resulte, sigue siendo cuántas decisiones difíciles está dispuesto a asumir un gobierno cuando toca cerrar sistemas, sancionar operadores díscolos o invertir donde no da votos.</w:t>
      </w:r>
    </w:p>
    <w:p>
      <w:pPr>
        <w:pStyle w:val="Heading2"/>
        <w:keepNext/>
        <w:keepLines/>
      </w:pPr>
      <w:r>
        <w:rPr>
          <w:color w:val="0066CC"/>
        </w:rPr>
        <w:t>3. Riesgo: de contar incidentes a modelar madurez y criticidad</w:t>
      </w:r>
    </w:p>
    <w:p>
      <w:r>
        <w:t>En la dimensión de Riesgo, el gran giro desde 2025 es el paso desde indicadores puramente incidentales (número de ataques, tipos, sectores) hacia indicadores que combinan probabilidad, impacto y madurez de control, muchas veces con un enfoque “actuarial” todavía en pañales pero cada vez más explícito.</w:t>
      </w:r>
    </w:p>
    <w:p>
      <w:r>
        <w:t>ENISA NIS360 ejemplifica esta tendencia: el informe evalúa los sectores cubiertos por NIS2 en dos ejes—criticidad (importancia para el funcionamiento de la sociedad y la economía) y madurez de ciberseguridad (nivel de capacidades, controles, gobernanza)—y define una “risk zone” cuando la criticidad supera la madurez. Sectores como la gestión de servicios TIC, ciertos servicios digitales y algunos segmentos industriales aparecen repetidamente en esta zona, lo que implica una priorización política y presupuestaria inmediata.</w:t>
      </w:r>
      <w:r/>
      <w:r>
        <w:rPr/>
        <w:footnoteReference w:id="1"/>
      </w:r>
      <w:r/>
      <w:r>
        <w:rPr/>
        <w:footnoteReference w:id="2"/>
      </w:r>
    </w:p>
    <w:p>
      <w:r>
        <w:t>España, como Estado miembro, no aparece aislada, sino integrada en estas métricas europeas: sus operadores esenciales y entidades importantes deberán alinearse con NIS2 y, por extensión, sus indicadores de riesgo se harán visibles a través de este tipo de mecanismos. Además, el propio Gobierno reconoce el crecimiento sostenido de los ataques: un aumento del 300% desde 2015 y más de 100.000 ciberataques en 2024, con un incidente “muy grave” cada tres días, lo que sirve de indicador bruto pero contundente del riesgo agregado país.</w:t>
      </w:r>
      <w:r/>
      <w:r>
        <w:rPr/>
        <w:footnoteReference w:id="6"/>
      </w:r>
      <w:r/>
      <w:r>
        <w:rPr/>
        <w:footnoteReference w:id="2"/>
      </w:r>
      <w:r/>
      <w:r>
        <w:rPr/>
        <w:footnoteReference w:id="1"/>
      </w:r>
    </w:p>
    <w:p>
      <w:r>
        <w:t>A nivel industrial, informes como el Cisco Cybersecurity Readiness Index 2025 introducen otro tipo de métrica relevante para el riesgo nacional: el porcentaje de organizaciones en cada nivel de preparación (Beginner, Formative, Progressive, Mature) en dominios como identidad, puntos finales, redes, aplicaciones y datos. En el caso de España, el informe señala un retroceso en la resiliencia de red, con un desplazamiento desde categorías más maduras hacia niveles formativos, lo que sugiere que, pese a los avances estratégicos, ciertas capacidades técnicas sufren por complejidad, deuda técnica o falta de talento.</w:t>
      </w:r>
      <w:r/>
      <w:r>
        <w:rPr/>
        <w:footnoteReference w:id="3"/>
      </w:r>
    </w:p>
    <w:p>
      <w:r>
        <w:t>La lectura actuarial de todo esto es clara: los Estados empiezan a disponer de suficientes indicadores para construir funciones de pérdida esperada, escenarios de estrés y curvas de decaimiento de madurez si no se invierte de forma sostenida. La parte que todavía da pudor reconocer es que, a día de hoy, la mayoría de los modelos nacionales siguen siendo más un conjunto de proxies estadísticos que una auténtica modelización de riesgo al estilo de los seguros o la banca.</w:t>
      </w:r>
    </w:p>
    <w:p>
      <w:pPr>
        <w:pStyle w:val="Heading3"/>
        <w:keepNext/>
        <w:keepLines/>
      </w:pPr>
      <w:r>
        <w:t>Tabla: indicadores de riesgo clave en 2025–2026</w:t>
      </w:r>
    </w:p>
    <w:p>
      <w:r>
        <w:t>| Tipo de indicador          | España                                                                                         | Enfoque internacional                                                                 |</w:t>
      </w:r>
      <w:r/>
      <w:r>
        <w:br/>
        <w:t>| Incidentes                 | +100.000 ataques en 2024, un incidente muy grave cada tres días.</w:t>
      </w:r>
      <w:r/>
      <w:r>
        <w:rPr/>
        <w:footnoteReference w:id="6"/>
      </w:r>
      <w:r>
        <w:t xml:space="preserve">                        | Uso de estadísticas de CERTs y CSIRTs nacionales como base mínima de riesgo.         |</w:t>
      </w:r>
      <w:r/>
      <w:r>
        <w:br/>
        <w:t>| Madurez vs. criticidad     | Sectores españoles evaluados en el marco NIS2 y NIS360 (mapeo UE).</w:t>
      </w:r>
      <w:r/>
      <w:r>
        <w:rPr/>
        <w:footnoteReference w:id="1"/>
      </w:r>
      <w:r/>
      <w:r>
        <w:rPr/>
        <w:footnoteReference w:id="2"/>
      </w:r>
      <w:r>
        <w:t xml:space="preserve">             | ENISA NIS360 define la “risk zone” a nivel UE.</w:t>
      </w:r>
      <w:r/>
      <w:r>
        <w:rPr/>
        <w:footnoteReference w:id="1"/>
      </w:r>
      <w:r>
        <w:t xml:space="preserve">                                 |</w:t>
      </w:r>
      <w:r/>
      <w:r>
        <w:br/>
        <w:t>| Preparación organizacional | Empresas españolas evaluadas en el Cisco Readiness Index con deterioro en resiliencia de red.</w:t>
      </w:r>
      <w:r/>
      <w:r>
        <w:rPr/>
        <w:footnoteReference w:id="3"/>
      </w:r>
      <w:r>
        <w:t xml:space="preserve"> | Índices industriales globales para comparar preparación sectorial y por país.</w:t>
      </w:r>
      <w:r/>
      <w:r>
        <w:rPr/>
        <w:footnoteReference w:id="3"/>
      </w:r>
      <w:r>
        <w:t xml:space="preserve"> |</w:t>
      </w:r>
    </w:p>
    <w:p>
      <w:pPr>
        <w:pStyle w:val="Heading2"/>
        <w:keepNext/>
        <w:keepLines/>
      </w:pPr>
      <w:r>
        <w:rPr>
          <w:color w:val="0066CC"/>
        </w:rPr>
        <w:t>4. Cumplimiento: NIS2, DORA y la metricocracia regulatoria</w:t>
      </w:r>
    </w:p>
    <w:p>
      <w:r>
        <w:t>En el campo del Cumplimiento, el periodo 2025–2026 está dominado por dos grandes fuerzas: la implementación de NIS2 y DORA en la UE, y la evolución de marcos como NIST RMF y CSF en el mundo anglosajón. Ambas corrientes convergen en algo que los viejos GRC ya intuían: el cumplimiento no es un fin, sino una fuente de indicadores, y si no se miden bien, todo el sistema regulatorio se queda en un ejercicio litúrgico.</w:t>
      </w:r>
    </w:p>
    <w:p>
      <w:r>
        <w:t>NIS2 impone a los Estados miembros la obligación de supervisar y hacer cumplir requisitos de gestión de riesgos de ciberseguridad, notificación de incidentes y gobernanza de alto nivel (incluyendo responsabilidad de la dirección). ENISA, a través de NIS360, proporciona una plantilla de indicadores que los Estados pueden usar para monitorizar el grado de cumplimiento sectorial y la efectividad de las medidas, lo que incluye:</w:t>
      </w:r>
      <w:r/>
      <w:r>
        <w:rPr/>
        <w:footnoteReference w:id="2"/>
      </w:r>
      <w:r/>
      <w:r>
        <w:rPr/>
        <w:footnoteReference w:id="1"/>
      </w:r>
    </w:p>
    <w:p>
      <w:pPr>
        <w:pStyle w:val="ListBullet"/>
        <w:keepLines w:val="1"/>
        <w:keepNext w:val="1"/>
        <w:widowControl w:val="1"/>
      </w:pPr>
      <w:r>
        <w:t>Porcentaje de entidades esenciales con planes de gestión de riesgos verificados.</w:t>
      </w:r>
    </w:p>
    <w:p>
      <w:pPr>
        <w:pStyle w:val="ListBullet"/>
        <w:keepLines w:val="1"/>
        <w:keepNext w:val="1"/>
        <w:widowControl w:val="1"/>
      </w:pPr>
      <w:r>
        <w:t>Tiempos de notificación de incidentes críticos.</w:t>
      </w:r>
    </w:p>
    <w:p>
      <w:pPr>
        <w:pStyle w:val="ListBullet"/>
        <w:keepLines w:val="1"/>
        <w:widowControl w:val="1"/>
      </w:pPr>
      <w:r>
        <w:t>Nivel de implantación de controles técnicos claves (segmentación, gestión de identidades, registro y monitorización).12</w:t>
      </w:r>
    </w:p>
    <w:p>
      <w:r>
        <w:t>España está en pleno proceso de refuerzo regulatorio: el Gobierno ha aprobado medidas adicionales de ciberseguridad y ciberdefensa, vinculadas al Plan Nacional de Ciberseguridad y a un paquete de inversión de más de 1.157 millones de euros, con énfasis en la mejora de la protección de infraestructuras críticas y sistemas públicos. Además, España Digital 2025 fija objetivos cuantificados de digitalización de administraciones públicas (50% de servicios públicos digitalizados) y de formación de nuevos especialistas en ciberseguridad, IA y datos (20.000 nuevos profesionales), que funcionan como indicadores de capacidad futura de cumplimiento.</w:t>
      </w:r>
      <w:r/>
      <w:r>
        <w:rPr/>
        <w:footnoteReference w:id="7"/>
      </w:r>
      <w:r/>
      <w:r>
        <w:rPr/>
        <w:footnoteReference w:id="6"/>
      </w:r>
    </w:p>
    <w:p>
      <w:r>
        <w:t>En paralelo, NIST actualiza su catálogo de controles SP 800‑53 (versión 5.2.0 en 2025) para reforzar requisitos de actualización segura y confiable, gestión de parches y otros controles que influyen directamente en indicadores de cumplimiento técnico. La Risk Management Framework (SP 800‑37) sigue proponiendo un ciclo continuo de preparar, categorizar, seleccionar, implementar, evaluar, autorizar y monitorizar, que se traduce en métricas de ciclo de vida y estado de control.</w:t>
      </w:r>
      <w:r/>
      <w:r>
        <w:rPr/>
        <w:footnoteReference w:id="10"/>
      </w:r>
      <w:r/>
      <w:r>
        <w:rPr/>
        <w:footnoteReference w:id="4"/>
      </w:r>
    </w:p>
    <w:p>
      <w:r>
        <w:t>La moraleja para cualquier consorcio de CISOs y arquitectos Zero Trust con aspiraciones cuánticas es que el cumplimiento se ha convertido en una máquina de generar métricas: si se diseña bien, produce indicadores que informan el riesgo y la gobernanza; si se diseña mal, produce hojas de cálculo y migrañas.</w:t>
      </w:r>
    </w:p>
    <w:p>
      <w:pPr>
        <w:pStyle w:val="Heading3"/>
        <w:keepNext/>
        <w:keepLines/>
      </w:pPr>
      <w:r>
        <w:t>Tabla: ejemplos de indicadores de cumplimiento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 típico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Aplicación en España / UE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 / NIS360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Porcentaje de entidades con gestión de riesgos alineada a NIS2.12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Supervisión sectorial por autoridades nacionales, coordinación con ENISA.1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Tiempo medio de notificación de incidentes a CSIRT nacional.1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Integración con INCIBE‑CERT y CCN‑CERT para sectores públicos y privados.6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España Digital 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Nº de especialistas en ciberseguridad formados; digitalización de servicios públicos.7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Indicador de capacidad de cumplimiento y de resiliencia institucional.7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NIST RMF / SP 800‑53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Porcentaje de controles implementados y evaluados satisfactoriamente.4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Uso como referencia por organizaciones multinacionales y sectores regulados.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5. Aplicación nacional en España y mirada comparada</w:t>
      </w:r>
    </w:p>
    <w:p>
      <w:r>
        <w:t>Si tuviéramos que sintetizar el “cuadro de mando” GRC nacional de España con perspectiva global, a partir de las tendencias desde 2025, podríamos imaginar algo así:</w:t>
      </w:r>
    </w:p>
    <w:p>
      <w:r>
        <w:t>En Gobernanza, España presenta un marco institucional robusto, reconocido internacionalmente y categorizado como TIER 1 en el índice global de ciberseguridad de la UIT, con un entramado de organismos especializados y la reciente creación de un Centro Nacional de Ciberseguridad bajo Presidencia para reforzar la coordinación y la capacidad estratégica. Comparativamente, esto sitúa a España en el grupo de países que ya no discuten si necesitan gobernanza centralizada, sino cómo hacerla más efectiva y menos fragmentada, algo que también reflejan las mejores prácticas promovidas por ENISA para los Estados miembros.</w:t>
      </w:r>
      <w:r/>
      <w:r>
        <w:rPr/>
        <w:footnoteReference w:id="8"/>
      </w:r>
      <w:r/>
      <w:r>
        <w:rPr/>
        <w:footnoteReference w:id="2"/>
      </w:r>
      <w:r/>
      <w:r>
        <w:rPr/>
        <w:footnoteReference w:id="1"/>
      </w:r>
    </w:p>
    <w:p>
      <w:r>
        <w:t>En Riesgo, los datos de incidentes muestran un entorno crecientemente hostil (300% de incremento en ataques desde 2015, más de 100.000 en 2024), acompañado de una transición europea hacia métricas de madurez y criticidad que obligan a España a mirar no solo cuántos ataques sufre, sino en qué sectores la brecha entre importancia y preparación es más peligrosa. Los informes industriales apuntan que, pese a una infraestructura digital avanzada, ciertas capacidades (como la resiliencia de red empresarial) muestran signos de fatiga o retroceso, lo que la alinea con una tendencia mundial donde la complejidad tecnológica corre más rápido que la capacidad de gestión.</w:t>
      </w:r>
      <w:r/>
      <w:r>
        <w:rPr/>
        <w:footnoteReference w:id="6"/>
      </w:r>
      <w:r/>
      <w:r>
        <w:rPr/>
        <w:footnoteReference w:id="7"/>
      </w:r>
      <w:r/>
      <w:r>
        <w:rPr/>
        <w:footnoteReference w:id="3"/>
      </w:r>
      <w:r/>
      <w:r>
        <w:rPr/>
        <w:footnoteReference w:id="5"/>
      </w:r>
      <w:r/>
      <w:r>
        <w:rPr/>
        <w:footnoteReference w:id="2"/>
      </w:r>
      <w:r/>
      <w:r>
        <w:rPr/>
        <w:footnoteReference w:id="1"/>
      </w:r>
    </w:p>
    <w:p>
      <w:r>
        <w:t>En Cumplimiento, la combinación de NIS2, DORA, las iniciativas de la Década Digital y España Digital 2025 empuja a una metricocracia regulatoria donde cada obligación legal acaba traduciéndose en un indicador: desde el porcentaje de operadores esenciales con planes de ciberseguridad auditados hasta el nivel de competencias digitales de empleados públicos y privados. En comparación internacional, España se mueve en línea con otros Estados de la UE que han optado por marcos de cumplimiento densos pero relativamente coherentes, frente a otros entornos donde coexisten marcos sectoriales dispares sin una narrativa común.</w:t>
      </w:r>
      <w:r/>
      <w:r>
        <w:rPr/>
        <w:footnoteReference w:id="7"/>
      </w:r>
      <w:r/>
      <w:r>
        <w:rPr/>
        <w:footnoteReference w:id="5"/>
      </w:r>
      <w:r/>
      <w:r>
        <w:rPr/>
        <w:footnoteReference w:id="2"/>
      </w:r>
      <w:r/>
      <w:r>
        <w:rPr/>
        <w:footnoteReference w:id="1"/>
      </w:r>
    </w:p>
    <w:p>
      <w:r>
        <w:t>El reto que queda —para tu consorcio de CISOs, criptógrafos y estrategas— es menos técnico y más político: transformar este conjunto exuberante de indicadores GRC en un sistema que permita tomar decisiones difíciles con claridad y anticipación. O dicho de otra forma: conseguir que la métrica no sea un fin en sí misma, sino una brújula que señale dónde invertir, dónde regular con más uñas y dónde aceptar, con serenidad poco marketiniana, que cierto nivel de riesgo residual es parte del trato.</w:t>
      </w:r>
    </w:p>
    <w:p>
      <w:r>
        <w:t>1112131415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https://industrialcyber.co/reports/enisas-nis360-report-guides-nis2-directive-implementation-maps-sectoral-maturity-flags-cybersecurity-challenges/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https://www.enisa.europa.eu/sites/default/files/2025-03/ENISA - NIS360 - 2024_0.pdf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https://newsroom.cisco.com/c/dam/r/newsroom/en/us/interactive/cybersecurity-readiness-index/2025/documents/2025_Cisco_Cybersecurity_Readiness_Index_ES.pdf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https://www.enisa.europa.eu/sites/default/files/2025-03/ENISA - NIS360 - 2024_0.pdf</w:t>
      </w:r>
    </w:p>
  </w:footnote>
  <w:footnote w:id="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https://csrc.nist.gov/projects/risk-management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https://industrialcyber.co/reports/enisas-nis360-report-guides-nis2-directive-implementation-maps-sectoral-maturity-flags-cybersecurity-challenges/</w:t>
      </w:r>
    </w:p>
  </w:footnote>
  <w:footnote w:id="5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https://administracionelectronica.gob.es/pae_Home/dam/jcr:8292701b-f99d-47f7-a826-9b399dd63987/2025_ficha_informativa_Spain_Decada_digital.pdf</w:t>
      </w:r>
    </w:p>
  </w:footnote>
  <w:footnote w:id="6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https://digital.gob.es/en/comunicacion/notas-prensa/mtdfp/2025/05/2025-05-06_02</w:t>
      </w:r>
    </w:p>
  </w:footnote>
  <w:footnote w:id="7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https://portal.mineco.gob.es/RecursosArticulo/mineco/ministerio/ficheros/210204_Digital_Spain_2025.pdf</w:t>
      </w:r>
    </w:p>
  </w:footnote>
  <w:footnote w:id="8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https://www.lamoncloa.gob.es/lang/en/presidente/news/paginas/2025/20251016-information-cecurity-meeting.aspx</w:t>
      </w:r>
    </w:p>
  </w:footnote>
  <w:footnote w:id="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https://csrc.nist.gov/projects/risk-management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https://industrialcyber.co/reports/enisas-nis360-report-guides-nis2-directive-implementation-maps-sectoral-maturity-flags-cybersecurity-challenges/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https://industrialcyber.co/reports/enisas-nis360-report-guides-nis2-directive-implementation-maps-sectoral-maturity-flags-cybersecurity-challenges/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https://www.enisa.europa.eu/sites/default/files/2025-03/ENISA - NIS360 - 2024_0.pdf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https://industrialcyber.co/reports/enisas-nis360-report-guides-nis2-directive-implementation-maps-sectoral-maturity-flags-cybersecurity-challenges/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https://www.enisa.europa.eu/sites/default/files/2025-03/ENISA - NIS360 - 2024_0.pdf</w:t>
      </w:r>
    </w:p>
  </w:footnote>
  <w:footnote w:id="6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https://digital.gob.es/en/comunicacion/notas-prensa/mtdfp/2025/05/2025-05-06_02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https://www.enisa.europa.eu/sites/default/files/2025-03/ENISA - NIS360 - 2024_0.pdf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https://industrialcyber.co/reports/enisas-nis360-report-guides-nis2-directive-implementation-maps-sectoral-maturity-flags-cybersecurity-challenges/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https://newsroom.cisco.com/c/dam/r/newsroom/en/us/interactive/cybersecurity-readiness-index/2025/documents/2025_Cisco_Cybersecurity_Readiness_Index_ES.pdf</w:t>
      </w:r>
    </w:p>
  </w:footnote>
  <w:footnote w:id="6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https://digital.gob.es/en/comunicacion/notas-prensa/mtdfp/2025/05/2025-05-06_02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https://industrialcyber.co/reports/enisas-nis360-report-guides-nis2-directive-implementation-maps-sectoral-maturity-flags-cybersecurity-challenges/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https://www.enisa.europa.eu/sites/default/files/2025-03/ENISA - NIS360 - 2024_0.pdf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https://industrialcyber.co/reports/enisas-nis360-report-guides-nis2-directive-implementation-maps-sectoral-maturity-flags-cybersecurity-challenges/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https://newsroom.cisco.com/c/dam/r/newsroom/en/us/interactive/cybersecurity-readiness-index/2025/documents/2025_Cisco_Cybersecurity_Readiness_Index_ES.pdf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https://newsroom.cisco.com/c/dam/r/newsroom/en/us/interactive/cybersecurity-readiness-index/2025/documents/2025_Cisco_Cybersecurity_Readiness_Index_ES.pdf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https://www.enisa.europa.eu/sites/default/files/2025-03/ENISA - NIS360 - 2024_0.pdf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https://industrialcyber.co/reports/enisas-nis360-report-guides-nis2-directive-implementation-maps-sectoral-maturity-flags-cybersecurity-challenges/</w:t>
      </w:r>
    </w:p>
  </w:footnote>
  <w:footnote w:id="7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https://portal.mineco.gob.es/RecursosArticulo/mineco/ministerio/ficheros/210204_Digital_Spain_2025.pdf</w:t>
      </w:r>
    </w:p>
  </w:footnote>
  <w:footnote w:id="6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https://digital.gob.es/en/comunicacion/notas-prensa/mtdfp/2025/05/2025-05-06_02</w:t>
      </w:r>
    </w:p>
  </w:footnote>
  <w:footnote w:id="10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https://www.thoropass.com/blog/about-nist-800-37-compliance-in-2025</w:t>
      </w:r>
    </w:p>
  </w:footnote>
  <w:footnote w:id="4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https://csrc.nist.gov/projects/risk-management</w:t>
      </w:r>
    </w:p>
  </w:footnote>
  <w:footnote w:id="8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https://www.lamoncloa.gob.es/lang/en/presidente/news/paginas/2025/20251016-information-cecurity-meeting.aspx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https://www.enisa.europa.eu/sites/default/files/2025-03/ENISA - NIS360 - 2024_0.pdf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https://industrialcyber.co/reports/enisas-nis360-report-guides-nis2-directive-implementation-maps-sectoral-maturity-flags-cybersecurity-challenges/</w:t>
      </w:r>
    </w:p>
  </w:footnote>
  <w:footnote w:id="6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https://digital.gob.es/en/comunicacion/notas-prensa/mtdfp/2025/05/2025-05-06_02</w:t>
      </w:r>
    </w:p>
  </w:footnote>
  <w:footnote w:id="7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https://portal.mineco.gob.es/RecursosArticulo/mineco/ministerio/ficheros/210204_Digital_Spain_2025.pdf</w:t>
      </w:r>
    </w:p>
  </w:footnote>
  <w:footnote w:id="3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https://newsroom.cisco.com/c/dam/r/newsroom/en/us/interactive/cybersecurity-readiness-index/2025/documents/2025_Cisco_Cybersecurity_Readiness_Index_ES.pdf</w:t>
      </w:r>
    </w:p>
  </w:footnote>
  <w:footnote w:id="5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https://administracionelectronica.gob.es/pae_Home/dam/jcr:8292701b-f99d-47f7-a826-9b399dd63987/2025_ficha_informativa_Spain_Decada_digital.pdf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https://www.enisa.europa.eu/sites/default/files/2025-03/ENISA - NIS360 - 2024_0.pdf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https://industrialcyber.co/reports/enisas-nis360-report-guides-nis2-directive-implementation-maps-sectoral-maturity-flags-cybersecurity-challenges/</w:t>
      </w:r>
    </w:p>
  </w:footnote>
  <w:footnote w:id="7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https://portal.mineco.gob.es/RecursosArticulo/mineco/ministerio/ficheros/210204_Digital_Spain_2025.pdf</w:t>
      </w:r>
    </w:p>
  </w:footnote>
  <w:footnote w:id="5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https://administracionelectronica.gob.es/pae_Home/dam/jcr:8292701b-f99d-47f7-a826-9b399dd63987/2025_ficha_informativa_Spain_Decada_digital.pdf</w:t>
      </w:r>
    </w:p>
  </w:footnote>
  <w:footnote w:id="2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https://www.enisa.europa.eu/sites/default/files/2025-03/ENISA - NIS360 - 2024_0.pdf</w:t>
      </w:r>
    </w:p>
  </w:footnote>
  <w:footnote w:id="1">
    <w:p>
      <w:pPr>
        <w:pStyle w:val="FootnoteText"/>
        <w:spacing w:line="240" w:lineRule="auto" w:after="60"/>
        <w:ind w:left="360" w:hanging="180"/>
      </w:pPr>
      <w:r>
        <w:rPr>
          <w:sz w:val="16"/>
        </w:rPr>
        <w:footnoteRef/>
      </w:r>
      <w:r>
        <w:rPr>
          <w:sz w:val="18"/>
          <w:color w:val="404040"/>
        </w:rPr>
        <w:t xml:space="preserve"> https://industrialcyber.co/reports/enisas-nis360-report-guides-nis2-directive-implementation-maps-sectoral-maturity-flags-cybersecurity-challenges/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