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de métricas HTMM</w:t>
      </w:r>
    </w:p>
    <w:p>
      <w:r>
        <w:t>La siguiente matriz ilustra la evaluación PRAGMATIC de un subconjunto representativo de métricas definidas en el marco GQM anterior. Las valoraciones pueden ajustarse a una escala numérica (por ejemplo 1 = bajo, 5 = alto) en la hoja de cálculo correspondiente.</w:t>
      </w:r>
    </w:p>
    <w:p>
      <w:pPr>
        <w:pStyle w:val="Heading2"/>
        <w:keepNext/>
        <w:keepLines/>
      </w:pPr>
      <w:r>
        <w:rPr>
          <w:color w:val="0066CC"/>
        </w:rPr>
        <w:t>1. Leyenda</w:t>
      </w:r>
    </w:p>
    <w:p>
      <w:pPr>
        <w:pStyle w:val="ListBullet"/>
        <w:keepLines w:val="1"/>
        <w:keepNext w:val="1"/>
        <w:widowControl w:val="1"/>
      </w:pPr>
      <w:r>
        <w:t>Escala sugerida: 1 (muy bajo) a 5 (muy alto).</w:t>
      </w:r>
    </w:p>
    <w:p>
      <w:pPr>
        <w:pStyle w:val="ListBullet"/>
        <w:keepLines w:val="1"/>
        <w:widowControl w:val="1"/>
      </w:pPr>
      <w:r>
        <w:t>P: Predictivo, R: Relevante, A: Accionable, G: Genuino, M: Significativo, Pr: Preciso, T: Oportuno (Timely), I: Independiente, C: Coste-efectivo.</w:t>
      </w:r>
    </w:p>
    <w:p>
      <w:pPr>
        <w:pStyle w:val="Heading2"/>
        <w:keepNext/>
        <w:keepLines/>
      </w:pPr>
      <w:r>
        <w:rPr>
          <w:color w:val="0066CC"/>
        </w:rPr>
        <w:t>2. Matriz resumida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síntesis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M1.1 Cobertura STRIDE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categorías STRIDE con amenazas identificadas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Buena para ver amplitud de cobertura, pero no capta profundidad ni calidad de cada amenaza.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M1.2 Cobertura ENISA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categorías ENISA presentes en modelos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Conecta directamente con el paisaje de amenazas UE; exige taxonomía clara. [web:13][web:7]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M1.3 Tasa de amenazas nuevas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amenazas no presentes en catálogo previo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de creatividad y sensibilidad a emergentes, pero muy dependiente de criterios subjetivos. [web:6]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M2.1 Varianza inter-equipo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Varianza en nº de amenazas por sistema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Útil para evaluar consistencia; puede requerir muestras suficientes para ser robusta. [web:6][web:16]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M2.2 % amenazas descartadas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amenazas podadas como poco plausibles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Si es muy alto indica ruido; si es muy bajo, posible falta de filtro. Depende de criterios de poda. [web:6]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M2.3 Solapamiento de catálogos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amenazas comunes entre catálogos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Buena proxy de convergencia; requiere definiciones consistentes y repositorios comparables.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M3.1 Esfuerzo total sesión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Horas totales dedicadas por sesión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genuina y fácil de obtener; por sí sola no dice si el esfuerzo está bien invertido. [web:6]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M3.2 Esfuerzo por amenaza útil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Horas / amenazas con control asociado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accionable para optimizar el proceso; requiere buena trazabilidad amenazas-controles.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M3.3 Esfuerzo relativo hTMM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Ratio esfuerzo hTMM / método base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Permite discutir costo-efectividad del enfoque híbrido; exige datos históricos consistentes. [web:6]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M4.1 % amenazas con control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amenazas con al menos un control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muy relevante y accionable; no diferencia calidad/eficacia del control.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M4.2 Tiempo a registro de riesgos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Días hasta incorporar amenaza crítica al registro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Buena proxy de agilidad de gobernanza de riesgos; sensible a procesos internos.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M4.3 % amenazas críticas con RTO/RPO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amenazas críticas con parámetros de continuidad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de integración con continuidad; requiere coordinación entre áreas. [web:8]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M5.1 Mapeo a ENISA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amenazas internas con categoría ENISA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Refuerza alineación con paisaje UE; depende de calidad de la taxonomía ENISA y del mapeo. [web:13]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M5.2 Uso de datos ENISA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organizaciones que usan datos ENISA para priorizar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de adopción de inteligencia externa; no mide profundidad del uso. [web:13][web:7]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M5.3 Tiempo de reacción ENISA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Tiempo hasta actualizar modelos tras nuevo TL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Indica sensibilidad institucional a inteligencia UE; puede estar condicionado por ciclos presupuestarios.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práctico de la matriz</w:t>
      </w:r>
    </w:p>
    <w:p>
      <w:pPr>
        <w:pStyle w:val="ListBullet"/>
        <w:keepLines w:val="1"/>
        <w:keepNext w:val="1"/>
        <w:widowControl w:val="1"/>
      </w:pPr>
      <w:r>
        <w:t>La matriz sirve como base para seleccionar un subconjunto de métricas “estrella” con alta puntuación global, equilibrando capacidad predictiva, relevancia y coste.</w:t>
      </w:r>
    </w:p>
    <w:p>
      <w:pPr>
        <w:pStyle w:val="ListBullet"/>
        <w:keepLines w:val="1"/>
        <w:keepNext w:val="1"/>
        <w:widowControl w:val="1"/>
      </w:pPr>
      <w:r>
        <w:t>La implantación nacional o sectorial puede afinar los valores numéricos (1–5) y añadir comentarios específicos.</w:t>
      </w:r>
    </w:p>
    <w:p>
      <w:pPr>
        <w:pStyle w:val="ListBullet"/>
        <w:keepLines w:val="1"/>
        <w:widowControl w:val="1"/>
      </w:pPr>
      <w:r>
        <w:t>Para el cálculo del IGM, se recomienda ponderar las métricas mejor valoradas en PRAGMATIC para evitar un índice hinchado de números poco útiles en la práctica.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