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 de la Encuesta HTMM</w:t>
      </w:r>
    </w:p>
    <w:p>
      <w:pPr>
        <w:pStyle w:val="Heading2"/>
        <w:keepNext/>
        <w:keepLines/>
      </w:pPr>
      <w:r>
        <w:rPr>
          <w:color w:val="0066CC"/>
        </w:rPr>
        <w:t>1. De qué va realmente todo esto</w:t>
      </w:r>
    </w:p>
    <w:p>
      <w:r>
        <w:t>La encuesta que tiene usted delante —o que está a punto de reenviar al departamento de “que lo rellene otro”— nace de una constatación sencilla: el modelado de amenazas se ha convertido en una pieza central de la seguridad moderna, pero su práctica real en las organizaciones oscila entre el arte, el ritual y la improvisación.</w:t>
      </w:r>
    </w:p>
    <w:p>
      <w:r>
        <w:t>El Hybrid Threat Modeling Method (hTMM), propuesto por el Software Engineering Institute (SEI), intenta reconciliar esos mundos combinando creatividad (Security Cards), estructura (PnG, STRIDE) y disciplina de requisitos (SQUARE). [web:12][web:6][web:5] La encuesta quiere saber hasta qué punto esa filosofía —no necesariamente la liturgia exacta del método— ha aterrizado en la práctica diaria de las organizaciones.</w:t>
      </w:r>
    </w:p>
    <w:p>
      <w:pPr>
        <w:pStyle w:val="Heading2"/>
        <w:keepNext/>
        <w:keepLines/>
      </w:pPr>
      <w:r>
        <w:rPr>
          <w:color w:val="0066CC"/>
        </w:rPr>
        <w:t>2. Por qué preguntar tanto</w:t>
      </w:r>
    </w:p>
    <w:p>
      <w:r>
        <w:t>Preguntamos mucho porque el estado del modelado de amenazas no se resume en un “sí” o un “no”. Pedimos detalles sobre métodos, frecuencia, ámbitos, indicadores, integración con riesgos, continuidad y ROI porque todas esas capas determinan si el esfuerzo de modelar amenazas se queda en ejercicio de estilo o se traduce en decisiones reales.</w:t>
      </w:r>
    </w:p>
    <w:p>
      <w:r>
        <w:t>Además, los informes de paisaje de amenazas, como el ENISA Threat Landscape 2025, muestran un entorno cada vez más híbrido: DDoS masivos, ransomware profesionalizado, actores estatales y hacktivistas compartiendo herramientas, e incidentes que mezclan lo técnico con lo físico y lo informacional. [web:13][web:7][web:18] Si los modelos de amenaza no reflejan esa complejidad, nos estaremos contando un cuento más sencillo que la realidad.</w:t>
      </w:r>
    </w:p>
    <w:p>
      <w:pPr>
        <w:pStyle w:val="Heading2"/>
        <w:keepNext/>
        <w:keepLines/>
      </w:pPr>
      <w:r>
        <w:rPr>
          <w:color w:val="0066CC"/>
        </w:rPr>
        <w:t>3. A quién va dirigida la encuesta</w:t>
      </w:r>
    </w:p>
    <w:p>
      <w:r>
        <w:t>La encuesta está pensada para responsables de seguridad (CISO, responsables de ciberseguridad), de riesgo, de continuidad, de TI/OT y, en organizaciones especialmente valientes, miembros de la alta dirección que quieran bajar de la estratosfera del “riesgo estratégico” a la geografía concreta de las amenazas.</w:t>
      </w:r>
    </w:p>
    <w:p>
      <w:r>
        <w:t>No se espera que cada participante domine todas las siglas (hTMM, STRIDE, ATT&amp;CK, CVSS); lo importante es que puedan describir con honestidad qué se hace, qué no se hace y qué se hace solo porque lo pidió el auditor. Donde sea necesario, la guía metodológica proporciona recordatorios conceptuales.</w:t>
      </w:r>
    </w:p>
    <w:p>
      <w:pPr>
        <w:pStyle w:val="Heading2"/>
        <w:keepNext/>
        <w:keepLines/>
      </w:pPr>
      <w:r>
        <w:rPr>
          <w:color w:val="0066CC"/>
        </w:rPr>
        <w:t>4. Qué se puede hacer con los resultados</w:t>
      </w:r>
    </w:p>
    <w:p>
      <w:r>
        <w:t>Los datos obtenidos permiten, entre otras cosas:</w:t>
      </w:r>
    </w:p>
    <w:p>
      <w:pPr>
        <w:pStyle w:val="ListBullet"/>
        <w:keepLines w:val="1"/>
        <w:keepNext w:val="1"/>
        <w:widowControl w:val="1"/>
      </w:pPr>
      <w:r>
        <w:t xml:space="preserve">Dibujar mapas de madurez por sector y tamaño, identificando dónde abunda el modelado de amenazas y dónde sigue siendo una rara avis.  </w:t>
      </w:r>
    </w:p>
    <w:p>
      <w:pPr>
        <w:pStyle w:val="ListBullet"/>
        <w:keepLines w:val="1"/>
        <w:keepNext w:val="1"/>
        <w:widowControl w:val="1"/>
      </w:pPr>
      <w:r>
        <w:t xml:space="preserve">Comparar la autopercepción de las organizaciones con la evidencia externa de incidentes en la UE, para ver si la atención prestada a determinados tipos de amenazas está alineada con su protagonismo real. [web:13][web:7][web:18]  </w:t>
      </w:r>
    </w:p>
    <w:p>
      <w:pPr>
        <w:pStyle w:val="ListBullet"/>
        <w:keepLines w:val="1"/>
        <w:widowControl w:val="1"/>
      </w:pPr>
      <w:r>
        <w:t>Diseñar programas de formación y herramientas que ataquen los puntos flacos más recurrentes (por ejemplo, la ausencia de métricas o la desconexión con el análisis de riesgos).</w:t>
      </w:r>
    </w:p>
    <w:p>
      <w:r>
        <w:t>En un nivel más ambicioso, los resultados pueden alimentar estrategias nacionales de ciberseguridad, contribuyendo a definir mínimos razonables de modelado de amenazas para operadores de servicios esenciales y administración pública.</w:t>
      </w:r>
    </w:p>
    <w:p>
      <w:pPr>
        <w:pStyle w:val="Heading2"/>
        <w:keepNext/>
        <w:keepLines/>
      </w:pPr>
      <w:r>
        <w:rPr>
          <w:color w:val="0066CC"/>
        </w:rPr>
        <w:t>5. Sobre el IGM y el ROI (sí, dinero)</w:t>
      </w:r>
    </w:p>
    <w:p>
      <w:r>
        <w:t>El Indicador Global de Madurez (IGM) no pretende ser un oráculo, sino una forma compacta de resumir, por organización y sector, hasta qué punto el modelado de amenazas está institucionalizado, integrado y alineado con la realidad de las amenazas. Se construye combinando puntuaciones de distintas secciones (método, cobertura, métricas, integración con riesgo, dimensión territorial, etc.).</w:t>
      </w:r>
    </w:p>
    <w:p>
      <w:r>
        <w:t>En paralelo, la encuesta pregunta por el ROI del modelado de amenazas porque, mal que nos pese, muchas decisiones estratégicas respecto a métodos, herramientas y equipos se toman en función de su impacto económico percibido. Estudios recientes que combinan hTMM con marcos cuantitativos (STRIDE+ATT&amp;CK+CVSS, matrices de riesgo 5×5) muestran que es posible aproximar pérdidas evitadas o mitigadas con cierto decoro numérico. [web:8][web:15]</w:t>
      </w:r>
    </w:p>
    <w:p>
      <w:pPr>
        <w:pStyle w:val="Heading2"/>
        <w:keepNext/>
        <w:keepLines/>
      </w:pPr>
      <w:r>
        <w:rPr>
          <w:color w:val="0066CC"/>
        </w:rPr>
        <w:t>6. Y ahora, qué</w:t>
      </w:r>
    </w:p>
    <w:p>
      <w:r>
        <w:t>Una vez recogidas las respuestas, el trabajo de verdad empieza con el análisis: patrones por sector, correlaciones entre madurez y tipos de incidente, identificación de buenas prácticas exportables y de carencias sistemáticas.</w:t>
      </w:r>
    </w:p>
    <w:p>
      <w:r>
        <w:t>El resultado ideal no es una clasificación de organizaciones “buenas” y “malas”, sino un espejo colectivo que permita a cada una situarse, justificar avances y, si se tercia, reclamar recursos adicionales con algo más que un PowerPoint alarmista.</w:t>
      </w:r>
    </w:p>
    <w:p>
      <w:r>
        <w:t>Si tras completar la encuesta le queda la sensación de que faltan preguntas, es una buena señal: significa que en su organización ya se está pensando en el modelado de amenazas con una finura que quizá merezca un estudio propio.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