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 la Encuesta HTMM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normativas/estratégicas relevantes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1–4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organizativo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N/A (segmentación analítica)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5–8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general en modelado de amenazas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(art. 21), ISO/IEC 27001 A.8, A.5, ENISA TL 2025 (enfoque threat-centric) [web:13]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9–12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Conocimiento y adopción de hTMM y métodos híbridos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Buenas prácticas SEI (hTMM), NIST SP 800-154 (threat modeling), marcos sectoriales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13–17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de amenazas, consistencia y falsos positivos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SEI hTMM (cobertura, consistencia), ISO/IEC 27005 (gestión de riesgos), ENISA TL 2025 [web:12][web:6][web:13]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18–22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Indicadores, métricas y cuadro de mando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(gestión de riesgos y reporting), ISO/IEC 27004 (métricas), marcos de supervisión sectoriales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23–25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Dimensión territorial y alineación 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Estrategias nacionales de ciberseguridad, ENISA TL 2025, directiva NIS2 [web:13]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26–28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con continuidad y resiliencia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22301 (continuidad), NIS2, guías ENISA sobre resiliencia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29–33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Aspectos organizativos y culturales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 (liderazgo, apoyo), NIS2 (gobernanza y responsabilidad de la dirección)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34–37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y ROI del modelado de amenazas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27004 (métricas), prácticas de gestión de riesgos empresariales, marcos de seguro cibernético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38–40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Perspectiva futura y cooperación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Estrategias nacionales de ciberseguridad, esquemas de cooperación sectorial y CSIRTs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