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 de objetivos, preguntas y métricas (GQM) en el contexto HTMM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 (G)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Preguntas clave (Q)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Métricas (M) asociadas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Referencias normativas/estratégicas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G1 – Cobertura de amenazas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Q1.1 Cobertura STRIDE; Q1.2 Cobertura ENISA; Q1.3 Amenazas nuevas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M1.1 Cobertura STRIDE; M1.2 Cobertura ENISA; M1.3 Tasa amenazas nuevas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ENISA TL 2025 (enfoque threat-centric, categorías de amenaza), NIS2 (gestión de riesgos basada en amenazas), ISO/IEC 27005 (identificación de riesgos). [web:13][web:7]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G2 – Consistencia y falsos positivos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Q2.1 Varianza inter-equipo; Q2.2 % amenazas descartadas; Q2.3 Efecto hTMM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M2.1 Varianza inter-equipo; M2.2 % amenazas descartadas; M2.3 Solapamiento de catálogos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SEI hTMM (consistencia, reducción de falsos positivos), ISO/IEC 27005 (criterios de evaluación de riesgos), buenas prácticas de aseguramiento de calidad. [web:6][web:16]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G3 – Esfuerzo y costo-efectividad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Q3.1 Esfuerzo por rol; Q3.2 Esfuerzo vs. cobertura; Q3.3 Comparación hTMM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M3.1 Esfuerzo total sesión; M3.2 Esfuerzo por amenaza útil; M3.3 Esfuerzo relativo hTMM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(proporcionalidad y coste-efectividad de medidas), ISO/IEC 27001 (recursos y soporte), marcos de gestión de costes en seguridad.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G4 – Trazabilidad a requisitos, controles y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Q4.1 % amenazas con controles; Q4.2 Tiempo a registro de riesgos; Q4.3 Vinculación con continuidad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M4.1 % amenazas con control; M4.2 Tiempo a registro de riesgos; M4.3 % amenazas críticas con RTO/RPO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(medidas técnicas y organizativas, gobernanza de riesgos), ISO/IEC 27001 (controles Anexo A), ISO/IEC 27005 (tratamiento de riesgos), ISO 22301 (continuidad).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G5 – Alineación con paisaje europeo de amenazas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Q5.1 Mapeo a categorías ENISA; Q5.2 Uso de datos ENISA; Q5.3 Tiempo de reacción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M5.1 Mapeo a ENISA; M5.2 Uso de datos ENISA en priorización; M5.3 Tiempo de reacción ENISA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ENISA Threat Landscape 2025, estrategias nacionales de ciberseguridad, NIS2 (cooperación e intercambio de información). [web:13][web:7]</w:t>
            </w:r>
          </w:p>
        </w:tc>
      </w:tr>
    </w:tbl>
    <w:p/>
    <w:p>
      <w:r>
        <w:t>Este mapeo proporciona la base para justificar regulatoriamente la recopilación de métricas y su uso en cuadros de mando nacionales, sectoriales u organizativos.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