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IGM y ROI basada en GQM + PRAGMATIC</w:t>
      </w:r>
    </w:p>
    <w:p>
      <w:pPr>
        <w:pStyle w:val="Heading2"/>
        <w:keepNext/>
        <w:keepLines/>
      </w:pPr>
      <w:r>
        <w:rPr>
          <w:color w:val="0066CC"/>
        </w:rPr>
        <w:t>1. Estructura del libro</w:t>
      </w:r>
    </w:p>
    <w:p>
      <w:r>
        <w:t>Se recomienda un libro con las siguientes hojas:</w:t>
      </w:r>
    </w:p>
    <w:p>
      <w:pPr>
        <w:pStyle w:val="ListNumber"/>
        <w:keepLines w:val="1"/>
        <w:keepNext w:val="1"/>
        <w:widowControl w:val="1"/>
      </w:pPr>
      <w:r>
        <w:t>Respuestas_Encuesta: datos de organizaciones (incluyendo respuestas a preguntas GQM relevantes).</w:t>
      </w:r>
    </w:p>
    <w:p>
      <w:pPr>
        <w:pStyle w:val="ListNumber"/>
        <w:keepLines w:val="1"/>
        <w:keepNext w:val="1"/>
        <w:widowControl w:val="1"/>
      </w:pPr>
      <w:r>
        <w:t>Codificacion_Metricas: mapeo de respuestas a valores numéricos para cada métrica.</w:t>
      </w:r>
    </w:p>
    <w:p>
      <w:pPr>
        <w:pStyle w:val="ListNumber"/>
        <w:keepLines w:val="1"/>
        <w:keepNext w:val="1"/>
        <w:widowControl w:val="1"/>
      </w:pPr>
      <w:r>
        <w:t>Calculo_Metricas: cálculo por organización de M1.1–M5.3 y otras métricas derivadas.</w:t>
      </w:r>
    </w:p>
    <w:p>
      <w:pPr>
        <w:pStyle w:val="ListNumber"/>
        <w:keepLines w:val="1"/>
        <w:keepNext w:val="1"/>
        <w:widowControl w:val="1"/>
      </w:pPr>
      <w:r>
        <w:t>PRAGMATIC: puntuaciones de cada métrica en criterios PRAGMATIC y pesos resultantes.</w:t>
      </w:r>
    </w:p>
    <w:p>
      <w:pPr>
        <w:pStyle w:val="ListNumber"/>
        <w:keepLines w:val="1"/>
        <w:keepNext w:val="1"/>
        <w:widowControl w:val="1"/>
      </w:pPr>
      <w:r>
        <w:t>IGM: cálculo del Indicador Global de Madurez agregando métricas ponderadas.</w:t>
      </w:r>
    </w:p>
    <w:p>
      <w:pPr>
        <w:pStyle w:val="ListNumber"/>
        <w:keepLines w:val="1"/>
        <w:keepNext w:val="1"/>
        <w:widowControl w:val="1"/>
      </w:pPr>
      <w:r>
        <w:t>ROI: estimación de retorno de la inversión en modelado de amenazas.</w:t>
      </w:r>
    </w:p>
    <w:p>
      <w:pPr>
        <w:pStyle w:val="ListNumber"/>
        <w:keepLines w:val="1"/>
        <w:widowControl w:val="1"/>
      </w:pPr>
      <w:r>
        <w:t>Resumen: visualizaciones y tablas para reportes ejecutivos.</w:t>
      </w:r>
    </w:p>
    <w:p>
      <w:pPr>
        <w:pStyle w:val="Heading2"/>
        <w:keepNext/>
        <w:keepLines/>
      </w:pPr>
      <w:r>
        <w:rPr>
          <w:color w:val="0066CC"/>
        </w:rPr>
        <w:t>2. Hoja «Respuestas_Encuesta»</w:t>
      </w:r>
    </w:p>
    <w:p>
      <w:r>
        <w:t>Columnas principales:</w:t>
      </w:r>
    </w:p>
    <w:p>
      <w:pPr>
        <w:pStyle w:val="ListBullet"/>
        <w:keepLines w:val="1"/>
        <w:keepNext w:val="1"/>
        <w:widowControl w:val="1"/>
      </w:pPr>
      <w:r>
        <w:t>ID_Organizacion, Sector, Tamano, Ambito_Geografico.</w:t>
      </w:r>
    </w:p>
    <w:p>
      <w:pPr>
        <w:pStyle w:val="ListBullet"/>
        <w:keepLines w:val="1"/>
        <w:keepNext w:val="1"/>
        <w:widowControl w:val="1"/>
      </w:pPr>
      <w:r>
        <w:t>Variables que permitan calcular las métricas:</w:t>
      </w:r>
    </w:p>
    <w:p>
      <w:pPr>
        <w:pStyle w:val="ListBullet"/>
        <w:keepLines w:val="1"/>
        <w:keepNext w:val="1"/>
        <w:widowControl w:val="1"/>
      </w:pPr>
      <w:r>
        <w:t>Número de amenazas por categoría STRIDE, por sistema.</w:t>
      </w:r>
    </w:p>
    <w:p>
      <w:pPr>
        <w:pStyle w:val="ListBullet"/>
        <w:keepLines w:val="1"/>
        <w:keepNext w:val="1"/>
        <w:widowControl w:val="1"/>
      </w:pPr>
      <w:r>
        <w:t>Indicadores de presencia de categorías ENISA.</w:t>
      </w:r>
    </w:p>
    <w:p>
      <w:pPr>
        <w:pStyle w:val="ListBullet"/>
        <w:keepLines w:val="1"/>
        <w:keepNext w:val="1"/>
        <w:widowControl w:val="1"/>
      </w:pPr>
      <w:r>
        <w:t>Número de amenazas nuevas vs. catálogo base.</w:t>
      </w:r>
    </w:p>
    <w:p>
      <w:pPr>
        <w:pStyle w:val="ListBullet"/>
        <w:keepLines w:val="1"/>
        <w:keepNext w:val="1"/>
        <w:widowControl w:val="1"/>
      </w:pPr>
      <w:r>
        <w:t>Número de amenazas por equipo para escenarios comparables.</w:t>
      </w:r>
    </w:p>
    <w:p>
      <w:pPr>
        <w:pStyle w:val="ListBullet"/>
        <w:keepLines w:val="1"/>
        <w:keepNext w:val="1"/>
        <w:widowControl w:val="1"/>
      </w:pPr>
      <w:r>
        <w:t>Nº amenazas descartadas tras poda.</w:t>
      </w:r>
    </w:p>
    <w:p>
      <w:pPr>
        <w:pStyle w:val="ListBullet"/>
        <w:keepLines w:val="1"/>
        <w:keepNext w:val="1"/>
        <w:widowControl w:val="1"/>
      </w:pPr>
      <w:r>
        <w:t>Horas por rol y sesión.</w:t>
      </w:r>
    </w:p>
    <w:p>
      <w:pPr>
        <w:pStyle w:val="ListBullet"/>
        <w:keepLines w:val="1"/>
        <w:keepNext w:val="1"/>
        <w:widowControl w:val="1"/>
      </w:pPr>
      <w:r>
        <w:t>Nº amenazas con control, con registro de riesgo, con parámetros de continuidad.</w:t>
      </w:r>
    </w:p>
    <w:p>
      <w:pPr>
        <w:pStyle w:val="ListBullet"/>
        <w:keepLines w:val="1"/>
        <w:widowControl w:val="1"/>
      </w:pPr>
      <w:r>
        <w:t>Fechas de eventos clave (publicación ENISA TL, actualización de modelos, etc.). [web:13][web:7]</w:t>
      </w:r>
    </w:p>
    <w:p>
      <w:pPr>
        <w:pStyle w:val="Heading2"/>
        <w:keepNext/>
        <w:keepLines/>
      </w:pPr>
      <w:r>
        <w:rPr>
          <w:color w:val="0066CC"/>
        </w:rPr>
        <w:t>3. Hoja «Codificacion_Metricas»</w:t>
      </w:r>
    </w:p>
    <w:p>
      <w:r>
        <w:t>Contendrá:</w:t>
      </w:r>
    </w:p>
    <w:p>
      <w:pPr>
        <w:pStyle w:val="ListBullet"/>
        <w:keepLines w:val="1"/>
        <w:keepNext w:val="1"/>
        <w:widowControl w:val="1"/>
      </w:pPr>
      <w:r>
        <w:t>Definiciones de cada métrica (M1.1–M5.3) y fórmula textual.</w:t>
      </w:r>
    </w:p>
    <w:p>
      <w:pPr>
        <w:pStyle w:val="ListBullet"/>
        <w:keepLines w:val="1"/>
        <w:widowControl w:val="1"/>
      </w:pPr>
      <w:r>
        <w:t>Asignación de rangos a categorías cualitativas cuando proceda (por ejemplo, nivel de uso de datos ENISA: No/Parcial/Intensivo → 0/0,5/1).</w:t>
      </w:r>
    </w:p>
    <w:p>
      <w:pPr>
        <w:pStyle w:val="Heading2"/>
        <w:keepNext/>
        <w:keepLines/>
      </w:pPr>
      <w:r>
        <w:rPr>
          <w:color w:val="0066CC"/>
        </w:rPr>
        <w:t>4. Hoja «Calculo_Metricas»</w:t>
      </w:r>
    </w:p>
    <w:p>
      <w:r>
        <w:t>Para cada organización, filas con las siguientes columnas calculadas:</w:t>
      </w:r>
    </w:p>
    <w:p>
      <w:pPr>
        <w:pStyle w:val="ListBullet"/>
        <w:keepLines w:val="1"/>
        <w:keepNext w:val="1"/>
        <w:widowControl w:val="1"/>
      </w:pPr>
      <w:r>
        <w:t>M1_1_Cobertura_STRIDE, M1_2_Cobertura_ENISA, M1_3_Tasa_Nuevas.</w:t>
      </w:r>
    </w:p>
    <w:p>
      <w:pPr>
        <w:pStyle w:val="ListBullet"/>
        <w:keepLines w:val="1"/>
        <w:keepNext w:val="1"/>
        <w:widowControl w:val="1"/>
      </w:pPr>
      <w:r>
        <w:t>M2_1_Varianza_Inter, M2_2_Porc_Descartadas, M2_3_Solapamiento.</w:t>
      </w:r>
    </w:p>
    <w:p>
      <w:pPr>
        <w:pStyle w:val="ListBullet"/>
        <w:keepLines w:val="1"/>
        <w:keepNext w:val="1"/>
        <w:widowControl w:val="1"/>
      </w:pPr>
      <w:r>
        <w:t>M3_1_Esfuerzo_Sesion, M3_2_Esfuerzo_Amenaza_Util, M3_3_Esfuerzo_Relativo.</w:t>
      </w:r>
    </w:p>
    <w:p>
      <w:pPr>
        <w:pStyle w:val="ListBullet"/>
        <w:keepLines w:val="1"/>
        <w:keepNext w:val="1"/>
        <w:widowControl w:val="1"/>
      </w:pPr>
      <w:r>
        <w:t>M4_1_Porc_Con_Control, M4_2_Tiempo_Registro_Riesgo, M4_3_Porc_RTO_RPO.</w:t>
      </w:r>
    </w:p>
    <w:p>
      <w:pPr>
        <w:pStyle w:val="ListBullet"/>
        <w:keepLines w:val="1"/>
        <w:widowControl w:val="1"/>
      </w:pPr>
      <w:r>
        <w:t>M5_1_Mapeo_ENISA, M5_2_Uso_Datos_ENISA, M5_3_Tiempo_Reaccion_ENISA.</w:t>
      </w:r>
    </w:p>
    <w:p>
      <w:r>
        <w:t>Las fórmulas pueden implementarse con referencias a columnas de «Respuestas_Encuesta» utilizando funciones como SUMA, PROMEDIO, VAR.P, etc.</w:t>
      </w:r>
    </w:p>
    <w:p>
      <w:pPr>
        <w:pStyle w:val="Heading2"/>
        <w:keepNext/>
        <w:keepLines/>
      </w:pPr>
      <w:r>
        <w:rPr>
          <w:color w:val="0066CC"/>
        </w:rPr>
        <w:t>5. Hoja «PRAGMATIC»</w:t>
      </w:r>
    </w:p>
    <w:p>
      <w:r>
        <w:t>Estructura sugerida:</w:t>
      </w:r>
    </w:p>
    <w:p>
      <w:pPr>
        <w:pStyle w:val="ListBullet"/>
        <w:keepLines w:val="1"/>
        <w:keepNext w:val="1"/>
        <w:widowControl w:val="1"/>
      </w:pPr>
      <w:r>
        <w:t>Columnas: Metrica, P, R, A, G, M, Pr, T, I, C, Puntuacion_Global, Peso_Normalizado.</w:t>
      </w:r>
    </w:p>
    <w:p>
      <w:pPr>
        <w:pStyle w:val="ListBullet"/>
        <w:keepLines w:val="1"/>
        <w:keepNext w:val="1"/>
        <w:widowControl w:val="1"/>
      </w:pPr>
      <w:r>
        <w:t>Puntuacion_Global: media simple o ponderada de los 9 criterios.</w:t>
      </w:r>
    </w:p>
    <w:p>
      <w:pPr>
        <w:pStyle w:val="ListBullet"/>
        <w:keepLines w:val="1"/>
        <w:widowControl w:val="1"/>
      </w:pPr>
      <w:r>
        <w:t>Peso_Normalizado: puntuación global de la métrica dividida por la suma de todas las puntuaciones globales, para usar como peso relativo en el IGM.</w:t>
      </w:r>
    </w:p>
    <w:p>
      <w:r>
        <w:t>Ejemplo de fórmula:</w:t>
      </w:r>
    </w:p>
    <w:p>
      <w:pPr>
        <w:pStyle w:val="ListBullet"/>
        <w:keepLines w:val="1"/>
        <w:keepNext w:val="1"/>
        <w:widowControl w:val="1"/>
      </w:pPr>
      <w:r>
        <w:t>Puntuacion_Global = PROMEDIO(P:C) (si las columnas P–C contienen los 9 criterios).</w:t>
      </w:r>
    </w:p>
    <w:p>
      <w:pPr>
        <w:pStyle w:val="ListBullet"/>
        <w:keepLines w:val="1"/>
        <w:widowControl w:val="1"/>
      </w:pPr>
      <w:r>
        <w:t>Peso_Normalizado = Puntuacion_Global / SUMA(Puntuacion_Global_de_todas_las_metricas).</w:t>
      </w:r>
    </w:p>
    <w:p>
      <w:pPr>
        <w:pStyle w:val="Heading2"/>
        <w:keepNext/>
        <w:keepLines/>
      </w:pPr>
      <w:r>
        <w:rPr>
          <w:color w:val="0066CC"/>
        </w:rPr>
        <w:t>6. Hoja «IGM»</w:t>
      </w:r>
    </w:p>
    <w:p>
      <w:r>
        <w:t>Para cada organización:</w:t>
      </w:r>
    </w:p>
    <w:p>
      <w:pPr>
        <w:pStyle w:val="ListNumber"/>
        <w:keepLines w:val="1"/>
        <w:keepNext w:val="1"/>
        <w:widowControl w:val="1"/>
      </w:pPr>
      <w:r>
        <w:t>Multiplicar cada métrica Mx.y por su Peso_Normalizado procedente de la hoja «PRAGMATIC».</w:t>
      </w:r>
    </w:p>
    <w:p>
      <w:pPr>
        <w:pStyle w:val="ListNumber"/>
        <w:keepLines w:val="1"/>
        <w:keepNext w:val="1"/>
        <w:widowControl w:val="1"/>
      </w:pPr>
      <w:r>
        <w:t>Sumar los productos para obtener un IGM en escala 0–1.</w:t>
      </w:r>
    </w:p>
    <w:p>
      <w:pPr>
        <w:pStyle w:val="ListNumber"/>
        <w:keepLines w:val="1"/>
        <w:widowControl w:val="1"/>
      </w:pPr>
      <w:r>
        <w:t>Escalar a 0–100: IGM_100 = IGM * 100.</w:t>
      </w:r>
    </w:p>
    <w:p>
      <w:r>
        <w:t>También pueden calcularse sub-índices por objetivo (G1–G5) agrupando métricas correspondientes y recalculando pesos internos.</w:t>
      </w:r>
    </w:p>
    <w:p>
      <w:pPr>
        <w:pStyle w:val="Heading2"/>
        <w:keepNext/>
        <w:keepLines/>
      </w:pPr>
      <w:r>
        <w:rPr>
          <w:color w:val="0066CC"/>
        </w:rPr>
        <w:t>7. Hoja «ROI»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Coste_Modelado_Anual.</w:t>
      </w:r>
    </w:p>
    <w:p>
      <w:pPr>
        <w:pStyle w:val="ListBullet"/>
        <w:keepLines w:val="1"/>
        <w:keepNext w:val="1"/>
        <w:widowControl w:val="1"/>
      </w:pPr>
      <w:r>
        <w:t>Reduccion_Incidentes (o cambio en tasa de incidentes relevantes).</w:t>
      </w:r>
    </w:p>
    <w:p>
      <w:pPr>
        <w:pStyle w:val="ListBullet"/>
        <w:keepLines w:val="1"/>
        <w:keepNext w:val="1"/>
        <w:widowControl w:val="1"/>
      </w:pPr>
      <w:r>
        <w:t>Coste_Medio_Incidente.</w:t>
      </w:r>
    </w:p>
    <w:p>
      <w:pPr>
        <w:pStyle w:val="ListBullet"/>
        <w:keepLines w:val="1"/>
        <w:widowControl w:val="1"/>
      </w:pPr>
      <w:r>
        <w:t>Prob_Contribucion_Modelado (P_Incidente_Evitado).</w:t>
      </w:r>
    </w:p>
    <w:p>
      <w:r>
        <w:t>Fórmulas básicas:</w:t>
      </w:r>
    </w:p>
    <w:p>
      <w:pPr>
        <w:pStyle w:val="ListBullet"/>
        <w:keepLines w:val="1"/>
        <w:keepNext w:val="1"/>
        <w:widowControl w:val="1"/>
      </w:pPr>
      <w:r>
        <w:t>Beneficio_Bruto = Reduccion_Incidentes * Coste_Medio_Incidente * Prob_Contribucion_Modelado.</w:t>
      </w:r>
    </w:p>
    <w:p>
      <w:pPr>
        <w:pStyle w:val="ListBullet"/>
        <w:keepLines w:val="1"/>
        <w:widowControl w:val="1"/>
      </w:pPr>
      <w:r>
        <w:t>ROI = (Beneficio_Bruto - Coste_Modelado_Anual) / Coste_Modelado_Anual.</w:t>
      </w:r>
    </w:p>
    <w:p>
      <w:r>
        <w:t>En un análisis más fino, puede explorarse la relación entre IGM y ROI estimado mediante gráficos de dispersión, para evidenciar (o refutar, según el caso) la correlación entre madurez de modelado de amenazas y beneficios económicos.</w:t>
      </w:r>
    </w:p>
    <w:p>
      <w:pPr>
        <w:pStyle w:val="Heading2"/>
        <w:keepNext/>
        <w:keepLines/>
      </w:pPr>
      <w:r>
        <w:rPr>
          <w:color w:val="0066CC"/>
        </w:rPr>
        <w:t>8. Hoja «Resumen»</w:t>
      </w:r>
    </w:p>
    <w:p>
      <w:r>
        <w:t>Debe incluir:</w:t>
      </w:r>
    </w:p>
    <w:p>
      <w:pPr>
        <w:pStyle w:val="ListBullet"/>
        <w:keepLines w:val="1"/>
        <w:keepNext w:val="1"/>
        <w:widowControl w:val="1"/>
      </w:pPr>
      <w:r>
        <w:t>Distribuciones de IGM por sector, tamaño, ámbito geográfico.</w:t>
      </w:r>
    </w:p>
    <w:p>
      <w:pPr>
        <w:pStyle w:val="ListBullet"/>
        <w:keepLines w:val="1"/>
        <w:keepNext w:val="1"/>
        <w:widowControl w:val="1"/>
      </w:pPr>
      <w:r>
        <w:t>Sub-índices por objetivo G1–G5.</w:t>
      </w:r>
    </w:p>
    <w:p>
      <w:pPr>
        <w:pStyle w:val="ListBullet"/>
        <w:keepLines w:val="1"/>
        <w:keepNext w:val="1"/>
        <w:widowControl w:val="1"/>
      </w:pPr>
      <w:r>
        <w:t>Relación entre IGM y ROI (gráfico de dispersión o burbujas).</w:t>
      </w:r>
    </w:p>
    <w:p>
      <w:pPr>
        <w:pStyle w:val="ListBullet"/>
        <w:keepLines w:val="1"/>
        <w:widowControl w:val="1"/>
      </w:pPr>
      <w:r>
        <w:t>Resumen de métricas top según PRAGMATIC (las más influyentes en el IGM).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