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(PowerPoint) – Marco GQM + PRAGMATIC para hTMM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«Indicadores de modelado de amenazas híbrido (hTMM) – Marco GQM + PRAGMATIC»  </w:t>
      </w:r>
    </w:p>
    <w:p>
      <w:pPr>
        <w:pStyle w:val="ListBullet"/>
        <w:keepLines w:val="1"/>
        <w:keepNext w:val="1"/>
        <w:widowControl w:val="1"/>
      </w:pPr>
      <w:r>
        <w:t xml:space="preserve">Subtítulo: «De los objetivos nacionales a los datos técnicos»  </w:t>
      </w:r>
    </w:p>
    <w:p>
      <w:pPr>
        <w:pStyle w:val="ListBullet"/>
        <w:keepLines w:val="1"/>
        <w:widowControl w:val="1"/>
      </w:pPr>
      <w:r>
        <w:t xml:space="preserve">Datos: entidad responsable, fecha, logos pertinentes.  </w:t>
      </w:r>
    </w:p>
    <w:p>
      <w:pPr>
        <w:pStyle w:val="Heading2"/>
        <w:keepNext/>
        <w:keepLines/>
      </w:pPr>
      <w:r>
        <w:rPr>
          <w:color w:val="0066CC"/>
        </w:rPr>
        <w:t>Diapositiva 2 – Por qué este marco</w:t>
      </w:r>
    </w:p>
    <w:p>
      <w:pPr>
        <w:pStyle w:val="ListBullet"/>
        <w:keepLines w:val="1"/>
        <w:keepNext w:val="1"/>
        <w:widowControl w:val="1"/>
      </w:pPr>
      <w:r>
        <w:t xml:space="preserve">Resumen del papel de hTMM en la mejora de cobertura y consistencia en el modelado de amenazas. [web:6][web:16]  </w:t>
      </w:r>
    </w:p>
    <w:p>
      <w:pPr>
        <w:pStyle w:val="ListBullet"/>
        <w:keepLines w:val="1"/>
        <w:widowControl w:val="1"/>
      </w:pPr>
      <w:r>
        <w:t>Necesidad de enlazar objetivos estratégicos nacionales/UE con métricas técnicas operativas. [web:13][web:7]</w:t>
      </w:r>
    </w:p>
    <w:p>
      <w:pPr>
        <w:pStyle w:val="Heading2"/>
        <w:keepNext/>
        <w:keepLines/>
      </w:pPr>
      <w:r>
        <w:rPr>
          <w:color w:val="0066CC"/>
        </w:rPr>
        <w:t>Diapositiva 3 – GQM en una diapositiva</w:t>
      </w:r>
    </w:p>
    <w:p>
      <w:pPr>
        <w:pStyle w:val="ListBullet"/>
        <w:keepLines w:val="1"/>
        <w:keepNext w:val="1"/>
        <w:widowControl w:val="1"/>
      </w:pPr>
      <w:r>
        <w:t xml:space="preserve">Esquema: Objetivos (G) → Preguntas (Q) → Métricas (M).  </w:t>
      </w:r>
    </w:p>
    <w:p>
      <w:pPr>
        <w:pStyle w:val="ListBullet"/>
        <w:keepLines w:val="1"/>
        <w:widowControl w:val="1"/>
      </w:pPr>
      <w:r>
        <w:t>Ejemplo simple: «G1 Cobertura de amenazas» → «¿Cuántas categorías ENISA cubrimos?» → «% de categorías ENISA presentes en modelos internos». [web:13]</w:t>
      </w:r>
    </w:p>
    <w:p>
      <w:pPr>
        <w:pStyle w:val="Heading2"/>
        <w:keepNext/>
        <w:keepLines/>
      </w:pPr>
      <w:r>
        <w:rPr>
          <w:color w:val="0066CC"/>
        </w:rPr>
        <w:t>Diapositiva 4 – Los objetivos G1–G5</w:t>
      </w:r>
    </w:p>
    <w:p>
      <w:pPr>
        <w:pStyle w:val="ListBullet"/>
        <w:keepLines w:val="1"/>
        <w:keepNext w:val="1"/>
        <w:widowControl w:val="1"/>
      </w:pPr>
      <w:r>
        <w:t xml:space="preserve">Lista sintética de G1–G5: Cobertura, Consistencia, Esfuerzo, Trazabilidad, Alineación UE.  </w:t>
      </w:r>
    </w:p>
    <w:p>
      <w:pPr>
        <w:pStyle w:val="ListBullet"/>
        <w:keepLines w:val="1"/>
        <w:widowControl w:val="1"/>
      </w:pPr>
      <w:r>
        <w:t>Nota: cada objetivo está alineado con requisitos de NIS2, estrategias nacionales y/o ENISA TL. [web:13]</w:t>
      </w:r>
    </w:p>
    <w:p>
      <w:pPr>
        <w:pStyle w:val="Heading2"/>
        <w:keepNext/>
        <w:keepLines/>
      </w:pPr>
      <w:r>
        <w:rPr>
          <w:color w:val="0066CC"/>
        </w:rPr>
        <w:t>Diapositiva 5 – Ejemplo de cadena GQM (G1)</w:t>
      </w:r>
    </w:p>
    <w:p>
      <w:pPr>
        <w:pStyle w:val="ListBullet"/>
        <w:keepLines w:val="1"/>
        <w:keepNext w:val="1"/>
        <w:widowControl w:val="1"/>
      </w:pPr>
      <w:r>
        <w:t xml:space="preserve">Visualización de G1 → Q1.1–Q1.3 → M1.1–M1.3.  </w:t>
      </w:r>
    </w:p>
    <w:p>
      <w:pPr>
        <w:pStyle w:val="ListBullet"/>
        <w:keepLines w:val="1"/>
        <w:widowControl w:val="1"/>
      </w:pPr>
      <w:r>
        <w:t>Breve explicación de cómo estas métricas permiten evaluar la cobertura de amenazas en términos de STRIDE y ENISA. [web:16][web:13]</w:t>
      </w:r>
    </w:p>
    <w:p>
      <w:pPr>
        <w:pStyle w:val="Heading2"/>
        <w:keepNext/>
        <w:keepLines/>
      </w:pPr>
      <w:r>
        <w:rPr>
          <w:color w:val="0066CC"/>
        </w:rPr>
        <w:t>Diapositiva 6 – Ejemplo de cadena GQM (G4)</w:t>
      </w:r>
    </w:p>
    <w:p>
      <w:pPr>
        <w:pStyle w:val="ListBullet"/>
        <w:keepLines w:val="1"/>
        <w:keepNext w:val="1"/>
        <w:widowControl w:val="1"/>
      </w:pPr>
      <w:r>
        <w:t xml:space="preserve">Visualización de G4 → Q4.1–Q4.3 → M4.1–M4.3.  </w:t>
      </w:r>
    </w:p>
    <w:p>
      <w:pPr>
        <w:pStyle w:val="ListBullet"/>
        <w:keepLines w:val="1"/>
        <w:widowControl w:val="1"/>
      </w:pPr>
      <w:r>
        <w:t>Foco en la trazabilidad hacia requisitos, controles y continuidad de negocio. [web:8]</w:t>
      </w:r>
    </w:p>
    <w:p>
      <w:pPr>
        <w:pStyle w:val="Heading2"/>
        <w:keepNext/>
        <w:keepLines/>
      </w:pPr>
      <w:r>
        <w:rPr>
          <w:color w:val="0066CC"/>
        </w:rPr>
        <w:t>Diapositiva 7 – Introducción a PRAGMATIC</w:t>
      </w:r>
    </w:p>
    <w:p>
      <w:pPr>
        <w:pStyle w:val="ListBullet"/>
        <w:keepLines w:val="1"/>
        <w:keepNext w:val="1"/>
        <w:widowControl w:val="1"/>
      </w:pPr>
      <w:r>
        <w:t xml:space="preserve">Definición breve de los 9 criterios (Predictivo, Relevante, Accionable, Genuino, Significativo, Preciso, Oportuno, Independiente, Coste-efectivo).  </w:t>
      </w:r>
    </w:p>
    <w:p>
      <w:pPr>
        <w:pStyle w:val="ListBullet"/>
        <w:keepLines w:val="1"/>
        <w:widowControl w:val="1"/>
      </w:pPr>
      <w:r>
        <w:t>Argumento: no todas las métricas son iguales; conviene priorizar las que puntúan alto en PRAGMATIC.</w:t>
      </w:r>
    </w:p>
    <w:p>
      <w:pPr>
        <w:pStyle w:val="Heading2"/>
        <w:keepNext/>
        <w:keepLines/>
      </w:pPr>
      <w:r>
        <w:rPr>
          <w:color w:val="0066CC"/>
        </w:rPr>
        <w:t>Diapositiva 8 – Matriz PRAGMATIC (vista general)</w:t>
      </w:r>
    </w:p>
    <w:p>
      <w:pPr>
        <w:pStyle w:val="ListBullet"/>
        <w:keepLines w:val="1"/>
        <w:keepNext w:val="1"/>
        <w:widowControl w:val="1"/>
      </w:pPr>
      <w:r>
        <w:t xml:space="preserve">Extracto visual de la matriz PRAGMATIC con algunas métricas clave (M1.2, M3.2, M4.1, M5.1).  </w:t>
      </w:r>
    </w:p>
    <w:p>
      <w:pPr>
        <w:pStyle w:val="ListBullet"/>
        <w:keepLines w:val="1"/>
        <w:widowControl w:val="1"/>
      </w:pPr>
      <w:r>
        <w:t>Comentario sobre por qué se consideran métricas «estrella».</w:t>
      </w:r>
    </w:p>
    <w:p>
      <w:pPr>
        <w:pStyle w:val="Heading2"/>
        <w:keepNext/>
        <w:keepLines/>
      </w:pPr>
      <w:r>
        <w:rPr>
          <w:color w:val="0066CC"/>
        </w:rPr>
        <w:t>Diapositiva 9 – Del PRAGMATIC al IGM</w:t>
      </w:r>
    </w:p>
    <w:p>
      <w:pPr>
        <w:pStyle w:val="ListBullet"/>
        <w:keepLines w:val="1"/>
        <w:keepNext w:val="1"/>
        <w:widowControl w:val="1"/>
      </w:pPr>
      <w:r>
        <w:t xml:space="preserve">Explicación de cómo las puntuaciones PRAGMATIC se convierten en pesos para el cálculo del IGM.  </w:t>
      </w:r>
    </w:p>
    <w:p>
      <w:pPr>
        <w:pStyle w:val="ListBullet"/>
        <w:keepLines w:val="1"/>
        <w:widowControl w:val="1"/>
      </w:pPr>
      <w:r>
        <w:t>Gráfico conceptual de agregación: Métricas → Sub-índices G1–G5 → IGM global.</w:t>
      </w:r>
    </w:p>
    <w:p>
      <w:pPr>
        <w:pStyle w:val="Heading2"/>
        <w:keepNext/>
        <w:keepLines/>
      </w:pPr>
      <w:r>
        <w:rPr>
          <w:color w:val="0066CC"/>
        </w:rPr>
        <w:t>Diapositiva 10 – Ejemplos de uso a nivel nacional/sectorial</w:t>
      </w:r>
    </w:p>
    <w:p>
      <w:pPr>
        <w:pStyle w:val="ListBullet"/>
        <w:keepLines w:val="1"/>
        <w:keepNext w:val="1"/>
        <w:widowControl w:val="1"/>
      </w:pPr>
      <w:r>
        <w:t xml:space="preserve">Caso 1: comparación de sectores en términos de cobertura y trazabilidad.  </w:t>
      </w:r>
    </w:p>
    <w:p>
      <w:pPr>
        <w:pStyle w:val="ListBullet"/>
        <w:keepLines w:val="1"/>
        <w:widowControl w:val="1"/>
      </w:pPr>
      <w:r>
        <w:t>Caso 2: monitorización de la reacción a nuevas tendencias ENISA (tiempo de actualización de modelos). [web:13][web:7]</w:t>
      </w:r>
    </w:p>
    <w:p>
      <w:pPr>
        <w:pStyle w:val="Heading2"/>
        <w:keepNext/>
        <w:keepLines/>
      </w:pPr>
      <w:r>
        <w:rPr>
          <w:color w:val="0066CC"/>
        </w:rPr>
        <w:t>Diapositiva 11 – Conexión con ENISA TL 2025</w:t>
      </w:r>
    </w:p>
    <w:p>
      <w:pPr>
        <w:pStyle w:val="ListBullet"/>
        <w:keepLines w:val="1"/>
        <w:keepNext w:val="1"/>
        <w:widowControl w:val="1"/>
      </w:pPr>
      <w:r>
        <w:t xml:space="preserve">Recordatorio de los datos clave del informe (nº de incidentes, predominio de DDoS, evolución del ransomware, amenazas híbridas). [web:13][web:7]  </w:t>
      </w:r>
    </w:p>
    <w:p>
      <w:pPr>
        <w:pStyle w:val="ListBullet"/>
        <w:keepLines w:val="1"/>
        <w:widowControl w:val="1"/>
      </w:pPr>
      <w:r>
        <w:t>Cómo las métricas M1.2, M5.1–M5.3 ayudan a alinear los modelos internos con este paisaje.</w:t>
      </w:r>
    </w:p>
    <w:p>
      <w:pPr>
        <w:pStyle w:val="Heading2"/>
        <w:keepNext/>
        <w:keepLines/>
      </w:pPr>
      <w:r>
        <w:rPr>
          <w:color w:val="0066CC"/>
        </w:rPr>
        <w:t>Diapositiva 12 – Implicaciones para reguladores y policy makers</w:t>
      </w:r>
    </w:p>
    <w:p>
      <w:pPr>
        <w:pStyle w:val="ListBullet"/>
        <w:keepLines w:val="1"/>
        <w:widowControl w:val="1"/>
      </w:pPr>
      <w:r>
        <w:t>Cómo este marco puede apoyar: fijación de mínimos de madurez, diseño de encuestas nacionales, definición de requisitos de reporte, priorización de apoyo y financiación.</w:t>
      </w:r>
    </w:p>
    <w:p>
      <w:pPr>
        <w:pStyle w:val="Heading2"/>
        <w:keepNext/>
        <w:keepLines/>
      </w:pPr>
      <w:r>
        <w:rPr>
          <w:color w:val="0066CC"/>
        </w:rPr>
        <w:t>Diapositiva 13 – Implicaciones para organizaciones</w:t>
      </w:r>
    </w:p>
    <w:p>
      <w:pPr>
        <w:pStyle w:val="ListBullet"/>
        <w:keepLines w:val="1"/>
        <w:widowControl w:val="1"/>
      </w:pPr>
      <w:r>
        <w:t>Beneficios de adoptar métricas GQM + PRAGMATIC: claridad de objetivos, mejor justificación de inversiones, diálogo más fluido con reguladores y auditores.</w:t>
      </w:r>
    </w:p>
    <w:p>
      <w:pPr>
        <w:pStyle w:val="Heading2"/>
        <w:keepNext/>
        <w:keepLines/>
      </w:pPr>
      <w:r>
        <w:rPr>
          <w:color w:val="0066CC"/>
        </w:rPr>
        <w:t>Diapositiva 14 – Plan de implantación sugerido</w:t>
      </w:r>
    </w:p>
    <w:p>
      <w:pPr>
        <w:pStyle w:val="ListBullet"/>
        <w:keepLines w:val="1"/>
        <w:keepNext w:val="1"/>
        <w:widowControl w:val="1"/>
      </w:pPr>
      <w:r>
        <w:t xml:space="preserve">Fases: piloto sectorial, ajuste de métricas y pesos, escalado nacional, revisión periódica.  </w:t>
      </w:r>
    </w:p>
    <w:p>
      <w:pPr>
        <w:pStyle w:val="ListBullet"/>
        <w:keepLines w:val="1"/>
        <w:widowControl w:val="1"/>
      </w:pPr>
      <w:r>
        <w:t>Controles: revisión anual frente a nuevas ediciones de ENISA TL y cambios regulatorios. [web:13]</w:t>
      </w:r>
    </w:p>
    <w:p>
      <w:pPr>
        <w:pStyle w:val="Heading2"/>
        <w:keepNext/>
        <w:keepLines/>
      </w:pPr>
      <w:r>
        <w:rPr>
          <w:color w:val="0066CC"/>
        </w:rPr>
        <w:t>Diapositiva 15 – Cierre</w:t>
      </w:r>
    </w:p>
    <w:p>
      <w:pPr>
        <w:pStyle w:val="ListBullet"/>
        <w:keepLines w:val="1"/>
        <w:widowControl w:val="1"/>
      </w:pPr>
      <w:r>
        <w:t>Mensaje final: el objetivo no es medir por medir, sino convertir el modelado de amenazas en un sistema nervioso común que conecte técnica, negocio y estrategia en un entorno de amenazas crecientemente híbridas. [web:6][web:13]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