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(PowerPoint) – Encuesta HTMM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 xml:space="preserve">Título: «Estado del modelado de amenazas híbrido (hTMM) en las organizaciones»  </w:t>
      </w:r>
    </w:p>
    <w:p>
      <w:pPr>
        <w:pStyle w:val="ListBullet"/>
        <w:keepLines w:val="1"/>
        <w:keepNext w:val="1"/>
        <w:widowControl w:val="1"/>
      </w:pPr>
      <w:r>
        <w:t xml:space="preserve">Subtítulo: «Resultados de la Encuesta HTMM – [Año]»  </w:t>
      </w:r>
    </w:p>
    <w:p>
      <w:pPr>
        <w:pStyle w:val="ListBullet"/>
        <w:keepLines w:val="1"/>
        <w:widowControl w:val="1"/>
      </w:pPr>
      <w:r>
        <w:t xml:space="preserve">Datos: nombre de la entidad responsable del estudio, logos pertinentes.  </w:t>
      </w:r>
    </w:p>
    <w:p>
      <w:pPr>
        <w:pStyle w:val="Heading2"/>
        <w:keepNext/>
        <w:keepLines/>
      </w:pPr>
      <w:r>
        <w:rPr>
          <w:color w:val="0066CC"/>
        </w:rPr>
        <w:t>Diapositiva 2 – Contexto y objetivos</w:t>
      </w:r>
    </w:p>
    <w:p>
      <w:pPr>
        <w:pStyle w:val="ListBullet"/>
        <w:keepLines w:val="1"/>
        <w:keepNext w:val="1"/>
        <w:widowControl w:val="1"/>
      </w:pPr>
      <w:r>
        <w:t xml:space="preserve">Breve resumen de por qué el modelado de amenazas se ha vuelto ineludible en la era de ransomware, DDoS masivos y amenazas híbridas. [web:13][web:7][web:18]  </w:t>
      </w:r>
    </w:p>
    <w:p>
      <w:pPr>
        <w:pStyle w:val="ListBullet"/>
        <w:keepLines w:val="1"/>
        <w:widowControl w:val="1"/>
      </w:pPr>
      <w:r>
        <w:t>Objetivos de la encuesta: medir madurez, identificar brechas, informar estrategias y priorización de inversiones.</w:t>
      </w:r>
    </w:p>
    <w:p>
      <w:pPr>
        <w:pStyle w:val="Heading2"/>
        <w:keepNext/>
        <w:keepLines/>
      </w:pPr>
      <w:r>
        <w:rPr>
          <w:color w:val="0066CC"/>
        </w:rPr>
        <w:t>Diapositiva 3 – Marco de referencia</w:t>
      </w:r>
    </w:p>
    <w:p>
      <w:pPr>
        <w:pStyle w:val="ListBullet"/>
        <w:keepLines w:val="1"/>
        <w:keepNext w:val="1"/>
        <w:widowControl w:val="1"/>
      </w:pPr>
      <w:r>
        <w:t xml:space="preserve">Esquema visual con los elementos clave: hTMM (Security Cards, PnG, STRIDE, SQUARE), marcos de riesgo y ENISA Threat Landscape. [web:12][web:6][web:13]  </w:t>
      </w:r>
    </w:p>
    <w:p>
      <w:pPr>
        <w:pStyle w:val="ListBullet"/>
        <w:keepLines w:val="1"/>
        <w:widowControl w:val="1"/>
      </w:pPr>
      <w:r>
        <w:t>Nota sobre la orientación “threat-centric” y la relevancia para España y la UE.</w:t>
      </w:r>
    </w:p>
    <w:p>
      <w:pPr>
        <w:pStyle w:val="Heading2"/>
        <w:keepNext/>
        <w:keepLines/>
      </w:pPr>
      <w:r>
        <w:rPr>
          <w:color w:val="0066CC"/>
        </w:rPr>
        <w:t>Diapositiva 4 – Participantes y metodología</w:t>
      </w:r>
    </w:p>
    <w:p>
      <w:pPr>
        <w:pStyle w:val="ListBullet"/>
        <w:keepLines w:val="1"/>
        <w:keepNext w:val="1"/>
        <w:widowControl w:val="1"/>
      </w:pPr>
      <w:r>
        <w:t xml:space="preserve">Número de organizaciones participantes.  </w:t>
      </w:r>
    </w:p>
    <w:p>
      <w:pPr>
        <w:pStyle w:val="ListBullet"/>
        <w:keepLines w:val="1"/>
        <w:keepNext w:val="1"/>
        <w:widowControl w:val="1"/>
      </w:pPr>
      <w:r>
        <w:t xml:space="preserve">Distribución por sector, tamaño y ámbito geográfico.  </w:t>
      </w:r>
    </w:p>
    <w:p>
      <w:pPr>
        <w:pStyle w:val="ListBullet"/>
        <w:keepLines w:val="1"/>
        <w:widowControl w:val="1"/>
      </w:pPr>
      <w:r>
        <w:t>Breve explicación de la metodología de encuesta y del cálculo del IGM.</w:t>
      </w:r>
    </w:p>
    <w:p>
      <w:pPr>
        <w:pStyle w:val="Heading2"/>
        <w:keepNext/>
        <w:keepLines/>
      </w:pPr>
      <w:r>
        <w:rPr>
          <w:color w:val="0066CC"/>
        </w:rPr>
        <w:t>Diapositiva 5 – Nivel general de madurez (IGM)</w:t>
      </w:r>
    </w:p>
    <w:p>
      <w:pPr>
        <w:pStyle w:val="ListBullet"/>
        <w:keepLines w:val="1"/>
        <w:keepNext w:val="1"/>
        <w:widowControl w:val="1"/>
      </w:pPr>
      <w:r>
        <w:t xml:space="preserve">Gráfico de barras con IGM medio por sector.  </w:t>
      </w:r>
    </w:p>
    <w:p>
      <w:pPr>
        <w:pStyle w:val="ListBullet"/>
        <w:keepLines w:val="1"/>
        <w:widowControl w:val="1"/>
      </w:pPr>
      <w:r>
        <w:t>Comentario sobre sectores más y menos maduros (sin “naming and shaming” excesivo).</w:t>
      </w:r>
    </w:p>
    <w:p>
      <w:pPr>
        <w:pStyle w:val="Heading2"/>
        <w:keepNext/>
        <w:keepLines/>
      </w:pPr>
      <w:r>
        <w:rPr>
          <w:color w:val="0066CC"/>
        </w:rPr>
        <w:t>Diapositiva 6 – Uso de métodos de modelado de amenazas</w:t>
      </w:r>
    </w:p>
    <w:p>
      <w:pPr>
        <w:pStyle w:val="ListBullet"/>
        <w:keepLines w:val="1"/>
        <w:keepNext w:val="1"/>
        <w:widowControl w:val="1"/>
      </w:pPr>
      <w:r>
        <w:t xml:space="preserve">Gráfico de columnas apiladas mostrando porcentaje de uso de STRIDE, ATT&amp;CK, árboles de ataque, hTMM y variantes híbridas. [web:12][web:5][web:8]  </w:t>
      </w:r>
    </w:p>
    <w:p>
      <w:pPr>
        <w:pStyle w:val="ListBullet"/>
        <w:keepLines w:val="1"/>
        <w:widowControl w:val="1"/>
      </w:pPr>
      <w:r>
        <w:t>Interpretación de las tendencias dominantes.</w:t>
      </w:r>
    </w:p>
    <w:p>
      <w:pPr>
        <w:pStyle w:val="Heading2"/>
        <w:keepNext/>
        <w:keepLines/>
      </w:pPr>
      <w:r>
        <w:rPr>
          <w:color w:val="0066CC"/>
        </w:rPr>
        <w:t>Diapositiva 7 – Adopción de elementos hTMM</w:t>
      </w:r>
    </w:p>
    <w:p>
      <w:pPr>
        <w:pStyle w:val="ListBullet"/>
        <w:keepLines w:val="1"/>
        <w:keepNext w:val="1"/>
        <w:widowControl w:val="1"/>
      </w:pPr>
      <w:r>
        <w:t xml:space="preserve">Gráfico de barras horizontales indicando el grado de uso de Security Cards, PnG y STRIDE estructurado en las organizaciones. [web:12][web:6][web:5]  </w:t>
      </w:r>
    </w:p>
    <w:p>
      <w:pPr>
        <w:pStyle w:val="ListBullet"/>
        <w:keepLines w:val="1"/>
        <w:widowControl w:val="1"/>
      </w:pPr>
      <w:r>
        <w:t>Comentario sobre la brecha entre interés teórico y práctica real.</w:t>
      </w:r>
    </w:p>
    <w:p>
      <w:pPr>
        <w:pStyle w:val="Heading2"/>
        <w:keepNext/>
        <w:keepLines/>
      </w:pPr>
      <w:r>
        <w:rPr>
          <w:color w:val="0066CC"/>
        </w:rPr>
        <w:t>Diapositiva 8 – Cobertura y consistencia de amenazas</w:t>
      </w:r>
    </w:p>
    <w:p>
      <w:pPr>
        <w:pStyle w:val="ListBullet"/>
        <w:keepLines w:val="1"/>
        <w:keepNext w:val="1"/>
        <w:widowControl w:val="1"/>
      </w:pPr>
      <w:r>
        <w:t xml:space="preserve">Visualización de indicadores de cobertura (por categorías) y consistencia entre equipos.  </w:t>
      </w:r>
    </w:p>
    <w:p>
      <w:pPr>
        <w:pStyle w:val="ListBullet"/>
        <w:keepLines w:val="1"/>
        <w:widowControl w:val="1"/>
      </w:pPr>
      <w:r>
        <w:t>Relación con la capacidad de detectar amenazas emergentes similares a las observadas por ENISA. [web:13][web:7]</w:t>
      </w:r>
    </w:p>
    <w:p>
      <w:pPr>
        <w:pStyle w:val="Heading2"/>
        <w:keepNext/>
        <w:keepLines/>
      </w:pPr>
      <w:r>
        <w:rPr>
          <w:color w:val="0066CC"/>
        </w:rPr>
        <w:t>Diapositiva 9 – Métricas, cuadro de mando e integración con riesgo</w:t>
      </w:r>
    </w:p>
    <w:p>
      <w:pPr>
        <w:pStyle w:val="ListBullet"/>
        <w:keepLines w:val="1"/>
        <w:keepNext w:val="1"/>
        <w:widowControl w:val="1"/>
      </w:pPr>
      <w:r>
        <w:t xml:space="preserve">Highlight de cuántas organizaciones tienen KPIs formales sobre modelado de amenazas.  </w:t>
      </w:r>
    </w:p>
    <w:p>
      <w:pPr>
        <w:pStyle w:val="ListBullet"/>
        <w:keepLines w:val="1"/>
        <w:widowControl w:val="1"/>
      </w:pPr>
      <w:r>
        <w:t>Esquema del flujo ideal: Modelado de amenazas → Riesgos → Controles → Indicadores.</w:t>
      </w:r>
    </w:p>
    <w:p>
      <w:pPr>
        <w:pStyle w:val="Heading2"/>
        <w:keepNext/>
        <w:keepLines/>
      </w:pPr>
      <w:r>
        <w:rPr>
          <w:color w:val="0066CC"/>
        </w:rPr>
        <w:t>Diapositiva 10 – Dimensión territorial y alineación con la UE</w:t>
      </w:r>
    </w:p>
    <w:p>
      <w:pPr>
        <w:pStyle w:val="ListBullet"/>
        <w:keepLines w:val="1"/>
        <w:keepNext w:val="1"/>
        <w:widowControl w:val="1"/>
      </w:pPr>
      <w:r>
        <w:t xml:space="preserve">Representación de hasta qué punto las organizaciones consideran las categorías de ENISA TL en sus modelos. [web:13][web:2][web:7]  </w:t>
      </w:r>
    </w:p>
    <w:p>
      <w:pPr>
        <w:pStyle w:val="ListBullet"/>
        <w:keepLines w:val="1"/>
        <w:widowControl w:val="1"/>
      </w:pPr>
      <w:r>
        <w:t>Nota sobre el encaje con estrategias nacionales de ciberseguridad.</w:t>
      </w:r>
    </w:p>
    <w:p>
      <w:pPr>
        <w:pStyle w:val="Heading2"/>
        <w:keepNext/>
        <w:keepLines/>
      </w:pPr>
      <w:r>
        <w:rPr>
          <w:color w:val="0066CC"/>
        </w:rPr>
        <w:t>Diapositiva 11 – Continuidad de negocio y resiliencia</w:t>
      </w:r>
    </w:p>
    <w:p>
      <w:pPr>
        <w:pStyle w:val="ListBullet"/>
        <w:keepLines w:val="1"/>
        <w:keepNext w:val="1"/>
        <w:widowControl w:val="1"/>
      </w:pPr>
      <w:r>
        <w:t xml:space="preserve">Mapa de calor mostrando la vinculación entre amenazas modeladas y escenarios de continuidad, RTO/RPO/MTD.  </w:t>
      </w:r>
    </w:p>
    <w:p>
      <w:pPr>
        <w:pStyle w:val="ListBullet"/>
        <w:keepLines w:val="1"/>
        <w:widowControl w:val="1"/>
      </w:pPr>
      <w:r>
        <w:t>Comentario sobre lagunas habituales (por ejemplo, infrautilización del modelado para priorizar inversiones en resiliencia).</w:t>
      </w:r>
    </w:p>
    <w:p>
      <w:pPr>
        <w:pStyle w:val="Heading2"/>
        <w:keepNext/>
        <w:keepLines/>
      </w:pPr>
      <w:r>
        <w:rPr>
          <w:color w:val="0066CC"/>
        </w:rPr>
        <w:t>Diapositiva 12 – Aspectos organizativos y culturales</w:t>
      </w:r>
    </w:p>
    <w:p>
      <w:pPr>
        <w:pStyle w:val="ListBullet"/>
        <w:keepLines w:val="1"/>
        <w:keepNext w:val="1"/>
        <w:widowControl w:val="1"/>
      </w:pPr>
      <w:r>
        <w:t xml:space="preserve">Diagrama que resuma la composición típica de equipos, nivel de apoyo de la alta dirección y principales barreras.  </w:t>
      </w:r>
    </w:p>
    <w:p>
      <w:pPr>
        <w:pStyle w:val="ListBullet"/>
        <w:keepLines w:val="1"/>
        <w:widowControl w:val="1"/>
      </w:pPr>
      <w:r>
        <w:t>Mensaje clave: sin cultura y gobernanza, el método se queda en papel.</w:t>
      </w:r>
    </w:p>
    <w:p>
      <w:pPr>
        <w:pStyle w:val="Heading2"/>
        <w:keepNext/>
        <w:keepLines/>
      </w:pPr>
      <w:r>
        <w:rPr>
          <w:color w:val="0066CC"/>
        </w:rPr>
        <w:t>Diapositiva 13 – ROI del modelado de amenazas</w:t>
      </w:r>
    </w:p>
    <w:p>
      <w:pPr>
        <w:pStyle w:val="ListBullet"/>
        <w:keepLines w:val="1"/>
        <w:keepNext w:val="1"/>
        <w:widowControl w:val="1"/>
      </w:pPr>
      <w:r>
        <w:t xml:space="preserve">Gráfico relacionando niveles de IGM con rangos de ROI estimado.  </w:t>
      </w:r>
    </w:p>
    <w:p>
      <w:pPr>
        <w:pStyle w:val="ListBullet"/>
        <w:keepLines w:val="1"/>
        <w:widowControl w:val="1"/>
      </w:pPr>
      <w:r>
        <w:t>Discusión sobre las hipótesis del modelo y las limitaciones (sin arruinar la narrativa, pero sin engañarse).</w:t>
      </w:r>
    </w:p>
    <w:p>
      <w:pPr>
        <w:pStyle w:val="Heading2"/>
        <w:keepNext/>
        <w:keepLines/>
      </w:pPr>
      <w:r>
        <w:rPr>
          <w:color w:val="0066CC"/>
        </w:rPr>
        <w:t>Diapositiva 14 – Recomendaciones clave</w:t>
      </w:r>
    </w:p>
    <w:p>
      <w:pPr>
        <w:pStyle w:val="ListBullet"/>
        <w:keepLines w:val="1"/>
        <w:keepNext w:val="1"/>
        <w:widowControl w:val="1"/>
      </w:pPr>
      <w:r>
        <w:t xml:space="preserve">Lista breve (3–5 puntos) de recomendaciones para organizaciones, reguladores y otros actores.  </w:t>
      </w:r>
    </w:p>
    <w:p>
      <w:pPr>
        <w:pStyle w:val="ListBullet"/>
        <w:keepLines w:val="1"/>
        <w:widowControl w:val="1"/>
      </w:pPr>
      <w:r>
        <w:t>Enfoque en pasos concretos y realistas para los próximos 24 meses.</w:t>
      </w:r>
    </w:p>
    <w:p>
      <w:pPr>
        <w:pStyle w:val="Heading2"/>
        <w:keepNext/>
        <w:keepLines/>
      </w:pPr>
      <w:r>
        <w:rPr>
          <w:color w:val="0066CC"/>
        </w:rPr>
        <w:t>Diapositiva 15 – Próximos pasos</w:t>
      </w:r>
    </w:p>
    <w:p>
      <w:pPr>
        <w:pStyle w:val="ListBullet"/>
        <w:keepLines w:val="1"/>
        <w:keepNext w:val="1"/>
        <w:widowControl w:val="1"/>
      </w:pPr>
      <w:r>
        <w:t xml:space="preserve">Propuestas de seguimiento: encuestas periódicas, grupos sectoriales de trabajo, consolidación de catálogos de amenazas y PnG comunes, etc.  </w:t>
      </w:r>
    </w:p>
    <w:p>
      <w:pPr>
        <w:pStyle w:val="ListBullet"/>
        <w:keepLines w:val="1"/>
        <w:widowControl w:val="1"/>
      </w:pPr>
      <w:r>
        <w:t>Invitación a la colaboración y al intercambio de datos agregados.</w:t>
      </w:r>
    </w:p>
    <w:p>
      <w:pPr>
        <w:pStyle w:val="Heading2"/>
        <w:keepNext/>
        <w:keepLines/>
      </w:pPr>
      <w:r>
        <w:rPr>
          <w:color w:val="0066CC"/>
        </w:rPr>
        <w:t>Diapositiva 16 – Cierre</w:t>
      </w:r>
    </w:p>
    <w:p>
      <w:pPr>
        <w:pStyle w:val="ListBullet"/>
        <w:keepLines w:val="1"/>
        <w:keepNext w:val="1"/>
        <w:widowControl w:val="1"/>
      </w:pPr>
      <w:r>
        <w:t xml:space="preserve">Mensaje final que resuma la idea central: el modelado de amenazas no es un lujo académico, sino un instrumento pragmático para tomar mejores decisiones en un entorno de amenazas crecientemente híbridas. [web:13][web:7][web:18]  </w:t>
      </w:r>
    </w:p>
    <w:p>
      <w:pPr>
        <w:pStyle w:val="ListBullet"/>
        <w:keepLines w:val="1"/>
        <w:widowControl w:val="1"/>
      </w:pPr>
      <w:r>
        <w:t>Datos de contacto y agradecimiento.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