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HTMM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Este kit incluye los siguientes archivos en formato Markdown:</w:t>
      </w:r>
    </w:p>
    <w:p>
      <w:pPr>
        <w:pStyle w:val="ListBullet"/>
        <w:keepLines w:val="1"/>
        <w:keepNext w:val="1"/>
        <w:widowControl w:val="1"/>
      </w:pPr>
      <w:r>
        <w:t>a_modelo_encuesta.md: cuestionario completo para distribuir a las organizaciones.</w:t>
      </w:r>
    </w:p>
    <w:p>
      <w:pPr>
        <w:pStyle w:val="ListBullet"/>
        <w:keepLines w:val="1"/>
        <w:keepNext w:val="1"/>
        <w:widowControl w:val="1"/>
      </w:pPr>
      <w:r>
        <w:t>b_guia_metodologica.md: explicación del marco conceptual, diseño de la encuesta y recomendaciones de análisis.</w:t>
      </w:r>
    </w:p>
    <w:p>
      <w:pPr>
        <w:pStyle w:val="ListBullet"/>
        <w:keepLines w:val="1"/>
        <w:keepNext w:val="1"/>
        <w:widowControl w:val="1"/>
      </w:pPr>
      <w:r>
        <w:t>c_narrativa_explicativa.md: texto divulgativo para acompañar la encuesta en comunicaciones y presentaciones.</w:t>
      </w:r>
    </w:p>
    <w:p>
      <w:pPr>
        <w:pStyle w:val="ListBullet"/>
        <w:keepLines w:val="1"/>
        <w:keepNext w:val="1"/>
        <w:widowControl w:val="1"/>
      </w:pPr>
      <w:r>
        <w:t>d_mapeo_normativo.md: tabla de correspondencia entre preguntas y referencias normativas/estratégicas.</w:t>
      </w:r>
    </w:p>
    <w:p>
      <w:pPr>
        <w:pStyle w:val="ListBullet"/>
        <w:keepLines w:val="1"/>
        <w:keepNext w:val="1"/>
        <w:widowControl w:val="1"/>
      </w:pPr>
      <w:r>
        <w:t>e_plantilla_excel_igm_roi.md: instrucciones para configurar un libro de Excel con cálculo de IGM y ROI.</w:t>
      </w:r>
    </w:p>
    <w:p>
      <w:pPr>
        <w:pStyle w:val="ListBullet"/>
        <w:keepLines w:val="1"/>
        <w:widowControl w:val="1"/>
      </w:pPr>
      <w:r>
        <w:t>f_plantilla_reporte_ppt.md: esquema de presentación ejecutiva en formato PowerPoint.</w:t>
      </w:r>
    </w:p>
    <w:p>
      <w:pPr>
        <w:pStyle w:val="Heading2"/>
        <w:keepNext/>
        <w:keepLines/>
      </w:pPr>
      <w:r>
        <w:rPr>
          <w:color w:val="0066CC"/>
        </w:rPr>
        <w:t>2. Uso recomendado</w:t>
      </w:r>
    </w:p>
    <w:p>
      <w:pPr>
        <w:pStyle w:val="ListNumber"/>
        <w:keepLines w:val="1"/>
        <w:keepNext w:val="1"/>
        <w:widowControl w:val="1"/>
      </w:pPr>
      <w:r>
        <w:br/>
        <w:t>Adaptación mínima y contextualización</w:t>
        <w:br/>
        <w:t xml:space="preserve">   Revise los textos para adaptarlos a su realidad sectorial y geográfica (por ejemplo, referencias específicas a España, reguladores nacionales, etc.).</w:t>
        <w:br/>
      </w:r>
    </w:p>
    <w:p>
      <w:pPr>
        <w:pStyle w:val="ListNumber"/>
        <w:keepLines w:val="1"/>
        <w:keepNext w:val="1"/>
        <w:widowControl w:val="1"/>
      </w:pPr>
      <w:r>
        <w:br/>
        <w:t>Implementación de la encuesta</w:t>
        <w:br/>
        <w:t xml:space="preserve">   Transforme a_modelo_encuesta.md en el formato de la herramienta de encuesta que utilice (formularios web, sistema interno, etc.). Mantenga la lógica y el orden de las preguntas para facilitar el análisis comparativo.</w:t>
        <w:br/>
      </w:r>
    </w:p>
    <w:p>
      <w:pPr>
        <w:pStyle w:val="ListNumber"/>
        <w:keepLines w:val="1"/>
        <w:keepNext w:val="1"/>
        <w:widowControl w:val="1"/>
      </w:pPr>
      <w:r>
        <w:br/>
        <w:t>Comunicación a participantes</w:t>
        <w:br/>
        <w:t xml:space="preserve">   Utilice c_narrativa_explicativa.md para acompañar las invitaciones y contextualizar la relevancia del estudio. Un toque de humor suele incrementar la tasa de respuesta.</w:t>
        <w:br/>
      </w:r>
    </w:p>
    <w:p>
      <w:pPr>
        <w:pStyle w:val="ListNumber"/>
        <w:keepLines w:val="1"/>
        <w:keepNext w:val="1"/>
        <w:widowControl w:val="1"/>
      </w:pPr>
      <w:r>
        <w:br/>
        <w:t>Análisis de resultados</w:t>
        <w:br/>
        <w:t xml:space="preserve">   Utilice b_guia_metodologica.md y e_plantilla_excel_igm_roi.md para estructurar el análisis, construir indicadores y preparar visualizaciones.</w:t>
        <w:br/>
      </w:r>
    </w:p>
    <w:p>
      <w:pPr>
        <w:pStyle w:val="ListNumber"/>
        <w:keepLines w:val="1"/>
        <w:widowControl w:val="1"/>
      </w:pPr>
      <w:r>
        <w:br/>
        <w:t>Reporte a la dirección y partes interesadas</w:t>
        <w:br/>
        <w:t xml:space="preserve">   Apóyese en f_plantilla_reporte_ppt.md para construir un informe ejecutivo que traduzca los resultados en mensajes inteligibles para comités de dirección y órganos de gobernanza.</w:t>
        <w:br/>
      </w:r>
    </w:p>
    <w:p>
      <w:r>
        <w:rPr>
          <w:b/>
        </w:rPr>
        <w:t>Adaptación mínima y contextualización</w:t>
      </w:r>
      <w:r/>
      <w:r>
        <w:br/>
        <w:t xml:space="preserve">   Revise los textos para adaptarlos a su realidad sectorial y geográfica (por ejemplo, referencias específicas a España, reguladores nacionales, etc.).</w:t>
      </w:r>
    </w:p>
    <w:p>
      <w:r>
        <w:rPr>
          <w:b/>
        </w:rPr>
        <w:t>Implementación de la encuesta</w:t>
      </w:r>
      <w:r/>
      <w:r>
        <w:br/>
        <w:t xml:space="preserve">   Transforme </w:t>
      </w:r>
      <w:r>
        <w:rPr>
          <w:rFonts w:ascii="Courier New" w:hAnsi="Courier New"/>
          <w:sz w:val="18"/>
        </w:rPr>
        <w:t>a_modelo_encuesta.md</w:t>
      </w:r>
      <w:r>
        <w:t xml:space="preserve"> en el formato de la herramienta de encuesta que utilice (formularios web, sistema interno, etc.). Mantenga la lógica y el orden de las preguntas para facilitar el análisis comparativo.</w:t>
      </w:r>
    </w:p>
    <w:p>
      <w:r>
        <w:rPr>
          <w:b/>
        </w:rPr>
        <w:t>Comunicación a participantes</w:t>
      </w:r>
      <w:r/>
      <w:r>
        <w:br/>
        <w:t xml:space="preserve">   Utilice </w:t>
      </w:r>
      <w:r>
        <w:rPr>
          <w:rFonts w:ascii="Courier New" w:hAnsi="Courier New"/>
          <w:sz w:val="18"/>
        </w:rPr>
        <w:t>c_narrativa_explicativa.md</w:t>
      </w:r>
      <w:r>
        <w:t xml:space="preserve"> para acompañar las invitaciones y contextualizar la relevancia del estudio. Un toque de humor suele incrementar la tasa de respuesta.</w:t>
      </w:r>
    </w:p>
    <w:p>
      <w:r>
        <w:rPr>
          <w:b/>
        </w:rPr>
        <w:t>Análisis de resultados</w:t>
      </w:r>
      <w:r/>
      <w:r>
        <w:br/>
        <w:t xml:space="preserve">   Utilice </w:t>
      </w:r>
      <w:r>
        <w:rPr>
          <w:rFonts w:ascii="Courier New" w:hAnsi="Courier New"/>
          <w:sz w:val="18"/>
        </w:rPr>
        <w:t>b_guia_metodologica.md</w:t>
      </w:r>
      <w:r>
        <w:t xml:space="preserve"> y </w:t>
      </w:r>
      <w:r>
        <w:rPr>
          <w:rFonts w:ascii="Courier New" w:hAnsi="Courier New"/>
          <w:sz w:val="18"/>
        </w:rPr>
        <w:t>e_plantilla_excel_igm_roi.md</w:t>
      </w:r>
      <w:r>
        <w:t xml:space="preserve"> para estructurar el análisis, construir indicadores y preparar visualizaciones.</w:t>
      </w:r>
    </w:p>
    <w:p>
      <w:r>
        <w:rPr>
          <w:b/>
        </w:rPr>
        <w:t>Reporte a la dirección y partes interesadas</w:t>
      </w:r>
      <w:r/>
      <w:r>
        <w:br/>
        <w:t xml:space="preserve">   Apóyese en </w:t>
      </w:r>
      <w:r>
        <w:rPr>
          <w:rFonts w:ascii="Courier New" w:hAnsi="Courier New"/>
          <w:sz w:val="18"/>
        </w:rPr>
        <w:t>f_plantilla_reporte_ppt.md</w:t>
      </w:r>
      <w:r>
        <w:t xml:space="preserve"> para construir un informe ejecutivo que traduzca los resultados en mensajes inteligibles para comités de dirección y órganos de gobernanza.</w:t>
      </w:r>
    </w:p>
    <w:p>
      <w:pPr>
        <w:pStyle w:val="Heading2"/>
        <w:keepNext/>
        <w:keepLines/>
      </w:pPr>
      <w:r>
        <w:rPr>
          <w:color w:val="0066CC"/>
        </w:rPr>
        <w:t>3. Referencias conceptuales</w:t>
      </w:r>
    </w:p>
    <w:p>
      <w:r>
        <w:t>El kit se inspira principalmente en:</w:t>
      </w:r>
    </w:p>
    <w:p>
      <w:pPr>
        <w:pStyle w:val="ListBullet"/>
        <w:keepLines w:val="1"/>
        <w:keepNext w:val="1"/>
        <w:widowControl w:val="1"/>
      </w:pPr>
      <w:r>
        <w:t>El Hybrid Threat Modeling Method (hTMM) del Software Engineering Institute, que combina Security Cards, PnG, STRIDE y SQUARE para mejorar la cobertura y consistencia de los modelos de amenaza. [web:12][web:6][web:5]</w:t>
      </w:r>
    </w:p>
    <w:p>
      <w:pPr>
        <w:pStyle w:val="ListBullet"/>
        <w:keepLines w:val="1"/>
        <w:keepNext w:val="1"/>
        <w:widowControl w:val="1"/>
      </w:pPr>
      <w:r>
        <w:t>El informe ENISA Threat Landscape 2025, que describe un entorno de amenazas cada vez más híbrido y profesionalizado a nivel de la Unión Europea. [web:13][web:7][web:18]</w:t>
      </w:r>
    </w:p>
    <w:p>
      <w:pPr>
        <w:pStyle w:val="ListBullet"/>
        <w:keepLines w:val="1"/>
        <w:widowControl w:val="1"/>
      </w:pPr>
      <w:r>
        <w:t>Trabajos recientes que integran marcos como STRIDE, MITRE ATT&amp;CK y CVSS con el modelado de amenazas para cuantificar riesgos de forma más rigurosa. [web:8][web:15]</w:t>
      </w:r>
    </w:p>
    <w:p>
      <w:pPr>
        <w:pStyle w:val="Heading2"/>
        <w:keepNext/>
        <w:keepLines/>
      </w:pPr>
      <w:r>
        <w:rPr>
          <w:color w:val="0066CC"/>
        </w:rPr>
        <w:t>4. Consideraciones éticas y de confidencialidad</w:t>
      </w:r>
    </w:p>
    <w:p>
      <w:pPr>
        <w:pStyle w:val="ListBullet"/>
        <w:keepLines w:val="1"/>
        <w:keepNext w:val="1"/>
        <w:widowControl w:val="1"/>
      </w:pPr>
      <w:r>
        <w:t>Defina claramente a los participantes el uso previsto de los datos, las medidas de anonimización y los posibles usos agregados para informes sectoriales o nacionales.</w:t>
      </w:r>
    </w:p>
    <w:p>
      <w:pPr>
        <w:pStyle w:val="ListBullet"/>
        <w:keepLines w:val="1"/>
        <w:keepNext w:val="1"/>
        <w:widowControl w:val="1"/>
      </w:pPr>
      <w:r>
        <w:t>Evite publicar resultados que permitan identificar organizaciones concretas sin su consentimiento explícito.</w:t>
      </w:r>
    </w:p>
    <w:p>
      <w:pPr>
        <w:pStyle w:val="ListBullet"/>
        <w:keepLines w:val="1"/>
        <w:widowControl w:val="1"/>
      </w:pPr>
      <w:r>
        <w:t>Tenga en cuenta las obligaciones legales aplicables en materia de protección de datos y secretos empresariales.</w:t>
      </w:r>
    </w:p>
    <w:p>
      <w:pPr>
        <w:pStyle w:val="Heading2"/>
        <w:keepNext/>
        <w:keepLines/>
      </w:pPr>
      <w:r>
        <w:rPr>
          <w:color w:val="0066CC"/>
        </w:rPr>
        <w:t>5. Evolución del kit</w:t>
      </w:r>
    </w:p>
    <w:p>
      <w:r>
        <w:t>La práctica del modelado de amenazas y el propio paisaje de amenazas evolucionan con agilidad, por decirlo suavemente. Se recomienda revisar y actualizar periódicamente:</w:t>
      </w:r>
    </w:p>
    <w:p>
      <w:pPr>
        <w:pStyle w:val="ListBullet"/>
        <w:keepLines w:val="1"/>
        <w:keepNext w:val="1"/>
        <w:widowControl w:val="1"/>
      </w:pPr>
      <w:r>
        <w:t>Las referencias normativas (por ejemplo, cambios en NIS2, guías de ENISA u otras autoridades).</w:t>
      </w:r>
    </w:p>
    <w:p>
      <w:pPr>
        <w:pStyle w:val="ListBullet"/>
        <w:keepLines w:val="1"/>
        <w:keepNext w:val="1"/>
        <w:widowControl w:val="1"/>
      </w:pPr>
      <w:r>
        <w:t>La taxonomía de amenazas y actores, incorporando nuevas tendencias (uso de IA generativa por atacantes, cadenas de suministro de software, etc.).</w:t>
      </w:r>
    </w:p>
    <w:p>
      <w:pPr>
        <w:pStyle w:val="ListBullet"/>
        <w:keepLines w:val="1"/>
        <w:widowControl w:val="1"/>
      </w:pPr>
      <w:r>
        <w:t>Las ponderaciones y modelos de ROI, para ajustarlos a datos empíricos recientes.</w:t>
      </w:r>
    </w:p>
    <w:p>
      <w:r>
        <w:t>Si tras un tiempo este kit le parece obvio, limitado o ingenuo, considéralo un éxito: significará que el nivel medio de madurez en modelado de amenazas ha subido y que ya está listo para la siguiente iteración.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