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DETALLADA</w:t>
      </w:r>
    </w:p>
    <w:p>
      <w:pPr>
        <w:pStyle w:val="Heading2"/>
        <w:keepNext/>
        <w:keepLines/>
      </w:pPr>
      <w:r>
        <w:rPr>
          <w:color w:val="0066CC"/>
        </w:rPr>
        <w:t>Kit de Encuesta DREAD — Métricas y Indicadores de Ciberseguridad 2025–2026</w:t>
      </w:r>
    </w:p>
    <w:p>
      <w:pPr>
        <w:pStyle w:val="Heading3"/>
        <w:keepNext/>
        <w:keepLines/>
      </w:pPr>
      <w:r>
        <w:t>Fundamentos Epistemológicos, Diseño Muestral, Protocolo de Aplicación y Análisis</w:t>
      </w:r>
    </w:p>
    <w:p>
      <w:r>
        <w:rPr>
          <w:i/>
        </w:rPr>
        <w:t>"Un instrumento de medición sin metodología es como un bisturí sin diagnóstico: puede hacer daño sin querer."</w:t>
      </w:r>
    </w:p>
    <w:p>
      <w:pPr>
        <w:pStyle w:val="Heading2"/>
        <w:keepNext/>
        <w:keepLines/>
      </w:pPr>
      <w:r>
        <w:rPr>
          <w:color w:val="0066CC"/>
        </w:rPr>
        <w:t>1. FUNDAMENTOS EPISTEMOLÓGICOS Y MARCO TEÓRICO</w:t>
      </w:r>
    </w:p>
    <w:p>
      <w:pPr>
        <w:pStyle w:val="Heading3"/>
        <w:keepNext/>
        <w:keepLines/>
      </w:pPr>
      <w:r>
        <w:t>1.1 Naturaleza de la investigación</w:t>
      </w:r>
    </w:p>
    <w:p>
      <w:r>
        <w:t xml:space="preserve">Esta encuesta se inscribe en el paradigma de la </w:t>
      </w:r>
      <w:r>
        <w:rPr>
          <w:b/>
        </w:rPr>
        <w:t>investigación empírica mixta</w:t>
      </w:r>
      <w:r>
        <w:t xml:space="preserve"> (cuantitativa + cualitativa) aplicada a la gestión del riesgo de ciberseguridad. El marco DREAD —Damage, Reproducibility, Exploitability, Affected Users, Discoverability— proporciona el eje conceptual en torno al cual se articulan los ítems de medición.</w:t>
      </w:r>
    </w:p>
    <w:p>
      <w:r>
        <w:t xml:space="preserve">La epistemología subyacente adopta una posición </w:t>
      </w:r>
      <w:r>
        <w:rPr>
          <w:b/>
        </w:rPr>
        <w:t>post-positivista moderada</w:t>
      </w:r>
      <w:r>
        <w:t>: reconoce la existencia de una realidad objetiva en el espacio de amenazas (vulnerabilidades, exploits, incidentes), al tiempo que acepta que la percepción, medición y respuesta a esa realidad está mediada por factores organizativos, culturales y de capacidad que solo pueden capturarse a través del juicio experto y la experiencia institucional.</w:t>
      </w:r>
    </w:p>
    <w:p>
      <w:pPr>
        <w:pStyle w:val="Heading3"/>
        <w:keepNext/>
        <w:keepLines/>
      </w:pPr>
      <w:r>
        <w:t>1.2 Objetivos de la investigación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Bloques relacionados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OB1: Medir la adopción real del marco DREAD en organizaciones españolas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Descriptivo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Bloque 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OB2: Evaluar la madurez en la medición cuantitativa de cada dimensión DREAD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Diagnóstico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Bloques 2–6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OB3: Identificar la correlación entre madurez DREAD y capacidad de respuesta a incidentes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Correlacional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Bloques 7, 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OB4: Comparar el uso de DREAD frente a frameworks alternativos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Comparativo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Bloque 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OB5: Proyectar tendencias en la adopción de métricas avanzadas (ML, AHP, Fuzzy)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Prospectivo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Bloque 11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OB6: Contrastar el nivel de alineación normativa (NIS2, ENS, DORA) con la práctica real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Normativo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Bloques 8, 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OB7: Capturar barreras y facilitadores de la evaluación cuantitativa de riesgos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Cualitativo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Bloque 12</w:t>
            </w:r>
          </w:p>
        </w:tc>
      </w:tr>
    </w:tbl>
    <w:p/>
    <w:p>
      <w:pPr>
        <w:pStyle w:val="Heading3"/>
        <w:keepNext/>
        <w:keepLines/>
      </w:pPr>
      <w:r>
        <w:t>1.3 Hipótesis de investigación</w:t>
      </w:r>
    </w:p>
    <w:p>
      <w:r>
        <w:rPr>
          <w:b/>
        </w:rPr>
        <w:t>H1:</w:t>
      </w:r>
      <w:r>
        <w:t xml:space="preserve"> La adopción formal del marco DREAD en organizaciones españolas es significativamente menor al 30% entre entidades no sujetas a ENS/NIS2, y mayor al 50% entre operadores esenciales/importantes.</w:t>
      </w:r>
    </w:p>
    <w:p>
      <w:r>
        <w:rPr>
          <w:b/>
        </w:rPr>
        <w:t>H2:</w:t>
      </w:r>
      <w:r>
        <w:t xml:space="preserve"> La dimensión "Usuarios Afectados" es la más subevaluada de las cinco, especialmente en organizaciones PYMEs y no-esenciales.</w:t>
      </w:r>
    </w:p>
    <w:p>
      <w:r>
        <w:rPr>
          <w:b/>
        </w:rPr>
        <w:t>H3:</w:t>
      </w:r>
      <w:r>
        <w:t xml:space="preserve"> Existe una correlación positiva y estadísticamente significativa entre el nivel de automatización del scoring de riesgos y el tiempo medio de detección/respuesta (MTTD/MTTR).</w:t>
      </w:r>
    </w:p>
    <w:p>
      <w:r>
        <w:rPr>
          <w:b/>
        </w:rPr>
        <w:t>H4:</w:t>
      </w:r>
      <w:r>
        <w:t xml:space="preserve"> La percepción de la "Descubribilidad" como dimensión problemática (por fomentar security-by-obscurity) está asociada inversamente al nivel de madurez en threat intelligence activa.</w:t>
      </w:r>
    </w:p>
    <w:p>
      <w:r>
        <w:rPr>
          <w:b/>
        </w:rPr>
        <w:t>H5:</w:t>
      </w:r>
      <w:r>
        <w:t xml:space="preserve"> Las organizaciones del sector financiero (sujetas a DORA) muestran mayor madurez en la cuantificación del Daño que las de otros sectores.</w:t>
      </w:r>
    </w:p>
    <w:p>
      <w:pPr>
        <w:pStyle w:val="Heading2"/>
        <w:keepNext/>
        <w:keepLines/>
      </w:pPr>
      <w:r>
        <w:rPr>
          <w:color w:val="0066CC"/>
        </w:rPr>
        <w:t>2. DISEÑO MUESTRAL Y ESTRATEGIA DE CAPTACIÓN</w:t>
      </w:r>
    </w:p>
    <w:p>
      <w:pPr>
        <w:pStyle w:val="Heading3"/>
        <w:keepNext/>
        <w:keepLines/>
      </w:pPr>
      <w:r>
        <w:t>2.1 Universo y población objetivo</w:t>
      </w:r>
    </w:p>
    <w:p>
      <w:r>
        <w:rPr>
          <w:b/>
        </w:rPr>
        <w:t>Universo principal:</w:t>
      </w:r>
      <w:r>
        <w:t xml:space="preserve"> Responsables de ciberseguridad, tecnología y riesgo de organizaciones con sede o operaciones en España, con más de 10 empleados, en todos los sectores.</w:t>
      </w:r>
    </w:p>
    <w:p>
      <w:r>
        <w:rPr>
          <w:b/>
        </w:rPr>
        <w:t>Estratificación propuesta: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Estrato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Cuota mínima recomendada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E1 — Sector público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Administración central + autonómica + local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 = 80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E2 — Sector financiero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Bancos, aseguradoras, fintech (DORA)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 = 60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E3 — Energía e infraestructuras críticas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Eléctricas, agua, gas, telecomunicaciones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 = 50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E4 — Salud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Hospitales, laboratorios, farmacéuticas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 = 50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E5 — Gran empresa no crítica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+250 empleados, sectores no críticos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 = 80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E6 — PYME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10–249 empleados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 = 100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E7 — Educación e investigación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Universidades, centros I+D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 = 30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  <w:tc>
          <w:tcPr>
            <w:tcW w:type="dxa" w:w="3120"/>
          </w:tcPr>
          <w:p>
            <w:pPr>
              <w:keepLines w:val="1"/>
            </w:pPr>
            <w:r>
              <w:t>n ≥ 450</w:t>
            </w:r>
          </w:p>
        </w:tc>
      </w:tr>
    </w:tbl>
    <w:p/>
    <w:p>
      <w:pPr>
        <w:pStyle w:val="Heading3"/>
        <w:keepNext/>
        <w:keepLines/>
      </w:pPr>
      <w:r>
        <w:t>2.2 Tamaño muestral y nivel de confianza</w:t>
      </w:r>
    </w:p>
    <w:p>
      <w:r>
        <w:t>Para una población estimada de ~15.000 organizaciones en España con programa formal de ciberseguridad:</w:t>
      </w:r>
    </w:p>
    <w:p>
      <w:pPr>
        <w:pStyle w:val="ListBullet"/>
        <w:keepLines w:val="1"/>
        <w:keepNext w:val="1"/>
        <w:widowControl w:val="1"/>
      </w:pPr>
      <w:r>
        <w:t>Margen de error: ±4.5%</w:t>
      </w:r>
    </w:p>
    <w:p>
      <w:pPr>
        <w:pStyle w:val="ListBullet"/>
        <w:keepLines w:val="1"/>
        <w:keepNext w:val="1"/>
        <w:widowControl w:val="1"/>
      </w:pPr>
      <w:r>
        <w:t>Nivel de confianza: 95%</w:t>
      </w:r>
    </w:p>
    <w:p>
      <w:pPr>
        <w:pStyle w:val="ListBullet"/>
        <w:keepLines w:val="1"/>
        <w:keepNext w:val="1"/>
        <w:widowControl w:val="1"/>
      </w:pPr>
      <w:r>
        <w:t>Proporción esperada: 50% (máxima variabilidad, escenario conservador)</w:t>
      </w:r>
    </w:p>
    <w:p>
      <w:pPr>
        <w:pStyle w:val="ListBullet"/>
        <w:keepLines w:val="1"/>
        <w:widowControl w:val="1"/>
      </w:pPr>
      <w:r>
        <w:t>Tamaño muestral calculado: n = 473 (con ajuste por estratificación y efecto diseño = 1.2 → n ajustado ≥ 450)</w:t>
      </w:r>
    </w:p>
    <w:p>
      <w:pPr>
        <w:pStyle w:val="Heading3"/>
        <w:keepNext/>
        <w:keepLines/>
      </w:pPr>
      <w:r>
        <w:t>2.3 Criterios de inclusión / exclusión</w:t>
      </w:r>
    </w:p>
    <w:p>
      <w:r>
        <w:rPr>
          <w:b/>
        </w:rPr>
        <w:t>Criterios de inclusión:</w:t>
      </w:r>
      <w:r/>
      <w:r>
        <w:br/>
        <w:t>- Organización con sede o actividad principal en España</w:t>
      </w:r>
      <w:r/>
      <w:r>
        <w:br/>
        <w:t>- Encuestado con responsabilidad directa o indirecta en ciberseguridad, TI o gestión de riesgos</w:t>
      </w:r>
      <w:r/>
      <w:r>
        <w:br/>
        <w:t>- Organización con al menos 10 empleados y alguna infraestructura digital relevante</w:t>
      </w:r>
    </w:p>
    <w:p>
      <w:r>
        <w:rPr>
          <w:b/>
        </w:rPr>
        <w:t>Criterios de exclusión:</w:t>
      </w:r>
      <w:r/>
      <w:r>
        <w:br/>
        <w:t>- Respuestas de personas físicas sin vínculo organizativo claro</w:t>
      </w:r>
      <w:r/>
      <w:r>
        <w:br/>
        <w:t>- Cuestionarios con más del 30% de preguntas sin responder (bloque central)</w:t>
      </w:r>
      <w:r/>
      <w:r>
        <w:br/>
        <w:t>- Organizaciones con sede fuera de la UE sin operaciones relevantes en España</w:t>
      </w:r>
    </w:p>
    <w:p>
      <w:pPr>
        <w:pStyle w:val="Heading3"/>
        <w:keepNext/>
        <w:keepLines/>
      </w:pPr>
      <w:r>
        <w:t>2.4 Estrategia de captación</w:t>
      </w:r>
    </w:p>
    <w:p>
      <w:r>
        <w:rPr>
          <w:b/>
        </w:rPr>
        <w:t>Canal primario:</w:t>
      </w:r>
      <w:r>
        <w:t xml:space="preserve"> Distribución digital mediante enlace único anonimizado</w:t>
      </w:r>
      <w:r/>
      <w:r>
        <w:br/>
        <w:t>- INCIBE (difusión entre su base de empresas registradas)</w:t>
      </w:r>
      <w:r/>
      <w:r>
        <w:br/>
        <w:t>- CCN-CERT (difusión entre entidades del sector público)</w:t>
      </w:r>
      <w:r/>
      <w:r>
        <w:br/>
        <w:t>- ISACA Spain Chapter, (ISC)² España, ISMS Forum Spain</w:t>
      </w:r>
      <w:r/>
      <w:r>
        <w:br/>
        <w:t>- LinkedIn (campañas segmentadas a CISOs, CIOs, DPOs en España)</w:t>
      </w:r>
    </w:p>
    <w:p>
      <w:r>
        <w:rPr>
          <w:b/>
        </w:rPr>
        <w:t>Canal secundario:</w:t>
      </w:r>
      <w:r>
        <w:t xml:space="preserve"> Distribución presencial en eventos del sector</w:t>
      </w:r>
      <w:r/>
      <w:r>
        <w:br/>
        <w:t>- CiberSeguridad Spain, RootedCON, NavajaNegra, ENISE</w:t>
      </w:r>
      <w:r/>
      <w:r>
        <w:br/>
        <w:t>- Foros CISO sectoriales (FinCERT, SalCERT, EnergyCERT)</w:t>
      </w:r>
    </w:p>
    <w:p>
      <w:r>
        <w:rPr>
          <w:b/>
        </w:rPr>
        <w:t>Canal terciario:</w:t>
      </w:r>
      <w:r>
        <w:t xml:space="preserve"> Entrevistas semi-estructuradas (n = 20–30)</w:t>
      </w:r>
      <w:r/>
      <w:r>
        <w:br/>
        <w:t>- Para profundidad cualitativa en organizaciones clave (operadores críticos, AAPP de nivel central)</w:t>
      </w:r>
      <w:r/>
      <w:r>
        <w:br/>
        <w:t>- Guion basado en los bloques 12 (preguntas abiertas) y los bloques 7–9</w:t>
      </w:r>
    </w:p>
    <w:p>
      <w:pPr>
        <w:pStyle w:val="Heading2"/>
        <w:keepNext/>
        <w:keepLines/>
      </w:pPr>
      <w:r>
        <w:rPr>
          <w:color w:val="0066CC"/>
        </w:rPr>
        <w:t>3. PROTOCOLO DE ADMINISTRACIÓN</w:t>
      </w:r>
    </w:p>
    <w:p>
      <w:pPr>
        <w:pStyle w:val="Heading3"/>
        <w:keepNext/>
        <w:keepLines/>
      </w:pPr>
      <w:r>
        <w:t>3.1 Versiones del instrumento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 estimado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Público objetivo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Completa (v1.0)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0–12 (todos)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60–75 min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CISOs, responsables seguridad senior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Abreviada (v1.1) ★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 1★, 2★, 3★, 4★, 5★, 6★, 7★, 8★, 9★, 10★, 11★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20–30 min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CIOs, directivos no técnicos, PYMEs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Sectorial financiero (v1.2)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 1, 2, 4, 5, 7, 8 (P8.4 ampliado), 11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45 min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Entidades sujetas a DORA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Sectorial OT/ICS (v1.3)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0, 1, 2, 3, 4, 5, 6, 7, 9 (ampliado)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50 min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Operadores de infraestructuras críticas</w:t>
            </w:r>
          </w:p>
        </w:tc>
      </w:tr>
    </w:tbl>
    <w:p/>
    <w:p>
      <w:pPr>
        <w:pStyle w:val="Heading3"/>
        <w:keepNext/>
        <w:keepLines/>
      </w:pPr>
      <w:r>
        <w:t>3.2 Instrucciones para el administrador</w:t>
      </w:r>
    </w:p>
    <w:p>
      <w:pPr>
        <w:pStyle w:val="ListNumber"/>
        <w:keepLines w:val="1"/>
        <w:keepNext w:val="1"/>
        <w:widowControl w:val="1"/>
      </w:pPr>
      <w:r>
        <w:t>Antes del envío: Personalizar el enlace de distribución con un identificador de estrato (E1–E7) para facilitar el análisis estratificado.</w:t>
      </w:r>
    </w:p>
    <w:p>
      <w:pPr>
        <w:pStyle w:val="ListNumber"/>
        <w:keepLines w:val="1"/>
        <w:keepNext w:val="1"/>
        <w:widowControl w:val="1"/>
      </w:pPr>
      <w:r>
        <w:t>Durante el período de campo: Enviar un recordatorio a los 7 días del envío inicial. Si la tasa de respuesta es &lt; 40%, enviar segundo recordatorio a los 14 días.</w:t>
      </w:r>
    </w:p>
    <w:p>
      <w:pPr>
        <w:pStyle w:val="ListNumber"/>
        <w:keepLines w:val="1"/>
        <w:keepNext w:val="1"/>
        <w:widowControl w:val="1"/>
      </w:pPr>
      <w:r>
        <w:t>Período de campo recomendado: 4–6 semanas (considerar que agosto y primera quincena de septiembre tienen tasas de respuesta reducidas en España).</w:t>
      </w:r>
    </w:p>
    <w:p>
      <w:pPr>
        <w:pStyle w:val="ListNumber"/>
        <w:keepLines w:val="1"/>
        <w:keepNext w:val="1"/>
        <w:widowControl w:val="1"/>
      </w:pPr>
      <w:r>
        <w:t>Control de calidad: Revisar semanalmente la distribución de respuestas por estrato; activar canales alternativos si algún estrato está infrarrepresentado.</w:t>
      </w:r>
    </w:p>
    <w:p>
      <w:pPr>
        <w:pStyle w:val="ListNumber"/>
        <w:keepLines w:val="1"/>
        <w:widowControl w:val="1"/>
      </w:pPr>
      <w:r>
        <w:t>Anonimización: Separar los datos de contacto de las respuestas inmediatamente al cerrar el formulario; solo conservar el identificador de estrato y el timestamp.</w:t>
      </w:r>
    </w:p>
    <w:p>
      <w:pPr>
        <w:pStyle w:val="Heading3"/>
        <w:keepNext/>
        <w:keepLines/>
      </w:pPr>
      <w:r>
        <w:t>3.3 Gestión del sesgo de deseabilidad social</w:t>
      </w:r>
    </w:p>
    <w:p>
      <w:r>
        <w:t>Las preguntas de esta encuesta abordan deficiencias organizativas. El sesgo de deseabilidad social —tendencia a responder lo que "debería ser" en lugar de lo que "es"— es el principal riesgo de validez interna.</w:t>
      </w:r>
    </w:p>
    <w:p>
      <w:r>
        <w:rPr>
          <w:b/>
        </w:rPr>
        <w:t>Medidas de mitigación:</w:t>
      </w:r>
      <w:r/>
      <w:r>
        <w:br/>
        <w:t>- Recordatorio explícito de confidencialidad al inicio y en cada bloque crítico.</w:t>
      </w:r>
      <w:r/>
      <w:r>
        <w:br/>
        <w:t>- Preguntas formuladas como descriptivas ("¿Cómo evalúa actualmente...?"), no normativas ("¿Debería evaluar...?").</w:t>
      </w:r>
      <w:r/>
      <w:r>
        <w:br/>
        <w:t>- Inclusión de opciones de respuesta que normalizan la ausencia de prácticas ("No evaluamos... / No tenemos...").</w:t>
      </w:r>
      <w:r/>
      <w:r>
        <w:br/>
        <w:t>- Preguntas de consistencia cruzada (ej.: P0.4 vs. P7.1 vs. P10.3) para detectar respuestas inconsistentes.</w:t>
      </w:r>
      <w:r/>
      <w:r>
        <w:br/>
        <w:t>- Versión de entrevista semi-estructurada para contraste cualitativo con muestra subconjunto.</w:t>
      </w:r>
    </w:p>
    <w:p>
      <w:pPr>
        <w:pStyle w:val="Heading2"/>
        <w:keepNext/>
        <w:keepLines/>
      </w:pPr>
      <w:r>
        <w:rPr>
          <w:color w:val="0066CC"/>
        </w:rPr>
        <w:t>4. SISTEMA DE CODIFICACIÓN Y ESCALAS</w:t>
      </w:r>
    </w:p>
    <w:p>
      <w:pPr>
        <w:pStyle w:val="Heading3"/>
        <w:keepNext/>
        <w:keepLines/>
      </w:pPr>
      <w:r>
        <w:t>4.1 Escalas y codificación numérica</w:t>
      </w:r>
    </w:p>
    <w:p>
      <w:r>
        <w:rPr>
          <w:b/>
        </w:rPr>
        <w:t>Escala de madurez (ítems tipo Likert ordinal 1–5):</w:t>
      </w:r>
      <w:r/>
      <w:r>
        <w:br/>
        <w:t>- Nivel 1 = Inexistente → Puntuación numérica: 1</w:t>
      </w:r>
      <w:r/>
      <w:r>
        <w:br/>
        <w:t>- Nivel 2 = Inicial/Ad hoc → Puntuación: 2</w:t>
      </w:r>
      <w:r/>
      <w:r>
        <w:br/>
        <w:t>- Nivel 3 = Definido → Puntuación: 3</w:t>
      </w:r>
      <w:r/>
      <w:r>
        <w:br/>
        <w:t>- Nivel 4 = Gestionado → Puntuación: 4</w:t>
      </w:r>
      <w:r/>
      <w:r>
        <w:br/>
        <w:t>- Nivel 5 = Optimizado → Puntuación: 5</w:t>
      </w:r>
    </w:p>
    <w:p>
      <w:r>
        <w:rPr>
          <w:b/>
        </w:rPr>
        <w:t>Ítems de selección múltiple (P1.2, P2.2, P4.4, P4.5, P5.3, P7.2, P11.2):</w:t>
      </w:r>
      <w:r/>
      <w:r>
        <w:br/>
        <w:t>- Codificación binaria: cada opción = variable dicotómica (0 = no marcada, 1 = marcada)</w:t>
      </w:r>
      <w:r/>
      <w:r>
        <w:br/>
        <w:t>- Suma de opciones marcadas → indicador de amplitud o exhaustividad de la práctica</w:t>
      </w:r>
    </w:p>
    <w:p>
      <w:r>
        <w:rPr>
          <w:b/>
        </w:rPr>
        <w:t>Ítems de texto libre (Bloque 12):</w:t>
      </w:r>
      <w:r/>
      <w:r>
        <w:br/>
        <w:t>- Análisis de contenido temático con codificación inductiva</w:t>
      </w:r>
      <w:r/>
      <w:r>
        <w:br/>
        <w:t>- Software recomendado: NVivo, ATLAS.ti, o análisis manual con plantilla de categorías</w:t>
      </w:r>
    </w:p>
    <w:p>
      <w:pPr>
        <w:pStyle w:val="Heading3"/>
        <w:keepNext/>
        <w:keepLines/>
      </w:pPr>
      <w:r>
        <w:t>4.2 Cálculo del Índice Global de Madurez DREAD (IGM-DREAD)</w:t>
      </w:r>
    </w:p>
    <w:p>
      <w:r>
        <w:t>El IGM-DREAD es el indicador sintético que resume la madurez organizativa en la aplicación del marco DREAD. Se calcula como la media ponderada de los scores de madurez por dimensión: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IGM-DREAD = Σ (w_i × Score_i) / Σ w_i</w:t>
        <w:br/>
        <w:br/>
        <w:t>Donde:</w:t>
        <w:br/>
        <w:t>- Score_D  = Promedio de respuestas Bloque 2 (P2.1 a P2.5) → Peso w_D = 0.25</w:t>
        <w:br/>
        <w:t>- Score_R  = Promedio de respuestas Bloque 3 (P3.1 a P3.5) → Peso w_R = 0.15</w:t>
        <w:br/>
        <w:t>- Score_E  = Promedio de respuestas Bloque 4 (P4.1 a P4.5) → Peso w_E = 0.20</w:t>
        <w:br/>
        <w:t>- Score_A  = Promedio de respuestas Bloque 5 (P5.1 a P5.5) → Peso w_A = 0.25</w:t>
        <w:br/>
        <w:t>- Score_Disc = Promedio de respuestas Bloque 6 (P6.1 a P6.4) → Peso w_Disc = 0.15</w:t>
        <w:br/>
      </w:r>
    </w:p>
    <w:p>
      <w:r>
        <w:rPr>
          <w:b/>
        </w:rPr>
        <w:t>Pesos justificados por:</w:t>
      </w:r>
      <w:r/>
      <w:r>
        <w:br/>
        <w:t>- Mayor peso en D y A: reflejan el impacto en negocio y la escala ciudadana, dimensiones más relevantes para gobernanza nacional</w:t>
      </w:r>
      <w:r/>
      <w:r>
        <w:br/>
        <w:t>- Mayor peso en E: refleja la democratización del ataque por IA (2025)</w:t>
      </w:r>
      <w:r/>
      <w:r>
        <w:br/>
        <w:t>- Menor peso en R y Disc: por su tratamiento como constantes (R=10, Disc=10) en muchas organizaciones maduras</w:t>
      </w:r>
    </w:p>
    <w:p>
      <w:r>
        <w:rPr>
          <w:b/>
        </w:rPr>
        <w:t>Interpretación del IGM-DREAD: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Rango IGM-DREAD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de madurez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 principal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1.0 – 1.9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Inexistente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Iniciar programa básico de threat modeling con formación DREAD/CVSS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2.0 – 2.9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Inicial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Formalizar scoring con plantillas; habilitar feeds CVE/INCIBE-CERT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3.0 – 3.9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 desarrollo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Integrar DREAD con CVSS+EPSS; establecer KPIs de seguimiento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4.0 – 4.9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Gestionado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Automatizar scoring; integrar con SIEM/SOAR; reportar al Consejo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Optimizado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Evolucionar a DREAD ponderado AHP / Fuzzy DREAD / ML-enhanced DREAD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5. ANÁLISIS ESTADÍSTICO</w:t>
      </w:r>
    </w:p>
    <w:p>
      <w:pPr>
        <w:pStyle w:val="Heading3"/>
        <w:keepNext/>
        <w:keepLines/>
      </w:pPr>
      <w:r>
        <w:t>5.1 Análisis descriptivo</w:t>
      </w:r>
    </w:p>
    <w:p>
      <w:r>
        <w:t>Para cada ítem y bloque:</w:t>
      </w:r>
      <w:r/>
      <w:r>
        <w:br/>
        <w:t>- Frecuencias absolutas y relativas por categoría de respuesta</w:t>
      </w:r>
      <w:r/>
      <w:r>
        <w:br/>
        <w:t>- Media y desviación estándar para ítems ordinales (con precaución epistemológica sobre la naturaleza ordinal)</w:t>
      </w:r>
      <w:r/>
      <w:r>
        <w:br/>
        <w:t>- Mediana y percentiles 25/75 para distribuciones asimétricas</w:t>
      </w:r>
      <w:r/>
      <w:r>
        <w:br/>
        <w:t>- Segmentación por variables de clasificación: sector (P0.1), tamaño (P0.2), rol (P0.3), NIS2 (P0.5)</w:t>
      </w:r>
    </w:p>
    <w:p>
      <w:pPr>
        <w:pStyle w:val="Heading3"/>
        <w:keepNext/>
        <w:keepLines/>
      </w:pPr>
      <w:r>
        <w:t>5.2 Análisis inferencial</w:t>
      </w:r>
    </w:p>
    <w:p>
      <w:pPr>
        <w:pStyle w:val="ListBullet"/>
        <w:keepLines w:val="1"/>
        <w:keepNext w:val="1"/>
        <w:widowControl w:val="1"/>
      </w:pPr>
      <w:r>
        <w:t>Test de Kruskal-Wallis para comparar IGM-DREAD entre sectores (datos ordinales, más de 2 grupos)</w:t>
      </w:r>
    </w:p>
    <w:p>
      <w:pPr>
        <w:pStyle w:val="ListBullet"/>
        <w:keepLines w:val="1"/>
        <w:keepNext w:val="1"/>
        <w:widowControl w:val="1"/>
      </w:pPr>
      <w:r>
        <w:t>Test de Mann-Whitney U para comparar pares de sectores / tamaños</w:t>
      </w:r>
    </w:p>
    <w:p>
      <w:pPr>
        <w:pStyle w:val="ListBullet"/>
        <w:keepLines w:val="1"/>
        <w:keepNext w:val="1"/>
        <w:widowControl w:val="1"/>
      </w:pPr>
      <w:r>
        <w:t>Análisis de correlación de Spearman entre IGM-DREAD y:</w:t>
      </w:r>
    </w:p>
    <w:p>
      <w:pPr>
        <w:pStyle w:val="ListBullet"/>
        <w:keepLines w:val="1"/>
        <w:keepNext w:val="1"/>
        <w:widowControl w:val="1"/>
      </w:pPr>
      <w:r>
        <w:t>MTTR de vulnerabilidades críticas (P3.4)</w:t>
      </w:r>
    </w:p>
    <w:p>
      <w:pPr>
        <w:pStyle w:val="ListBullet"/>
        <w:keepLines w:val="1"/>
        <w:keepNext w:val="1"/>
        <w:widowControl w:val="1"/>
      </w:pPr>
      <w:r>
        <w:t>Presupuesto de ciberseguridad (P10.3)</w:t>
      </w:r>
    </w:p>
    <w:p>
      <w:pPr>
        <w:pStyle w:val="ListBullet"/>
        <w:keepLines w:val="1"/>
        <w:keepNext w:val="1"/>
        <w:widowControl w:val="1"/>
      </w:pPr>
      <w:r>
        <w:t>Nivel de automatización (P7.1)</w:t>
      </w:r>
    </w:p>
    <w:p>
      <w:pPr>
        <w:pStyle w:val="ListBullet"/>
        <w:keepLines w:val="1"/>
        <w:widowControl w:val="1"/>
      </w:pPr>
      <w:r>
        <w:t>Regresión logística ordinal para modelar probabilidad de alcanzar nivel de madurez IGM ≥ 4 en función de: sector, tamaño, presupuesto, uso de frameworks, alineación NIS2</w:t>
      </w:r>
    </w:p>
    <w:p>
      <w:pPr>
        <w:pStyle w:val="Heading3"/>
        <w:keepNext/>
        <w:keepLines/>
      </w:pPr>
      <w:r>
        <w:t>5.3 Análisis de componentes principales (ACP)</w:t>
      </w:r>
    </w:p>
    <w:p>
      <w:r>
        <w:t>Para identificar la estructura latente del espacio de madurez en ciberseguridad: ¿existen dimensiones subyacentes que agrupen ciertos comportamientos organizativos? El ACP sobre los 50+ ítems ordinales (con matrices policóricas) revelará si los cinco indicadores DREAD se comportan como dimensiones realmente independientes o si hay factores organizativos transversales.</w:t>
      </w:r>
    </w:p>
    <w:p>
      <w:pPr>
        <w:pStyle w:val="Heading3"/>
        <w:keepNext/>
        <w:keepLines/>
      </w:pPr>
      <w:r>
        <w:t>5.4 Análisis cualitativo (Bloque 12)</w:t>
      </w:r>
    </w:p>
    <w:p>
      <w:pPr>
        <w:pStyle w:val="ListBullet"/>
        <w:keepLines w:val="1"/>
        <w:keepNext w:val="1"/>
        <w:widowControl w:val="1"/>
      </w:pPr>
      <w:r>
        <w:t>Codificación temática inductiva de respuestas abiertas</w:t>
      </w:r>
    </w:p>
    <w:p>
      <w:pPr>
        <w:pStyle w:val="ListBullet"/>
        <w:keepLines w:val="1"/>
        <w:keepNext w:val="1"/>
        <w:widowControl w:val="1"/>
      </w:pPr>
      <w:r>
        <w:t>Identificación de patrones recurrentes en las tres preguntas cualitativas</w:t>
      </w:r>
    </w:p>
    <w:p>
      <w:pPr>
        <w:pStyle w:val="ListBullet"/>
        <w:keepLines w:val="1"/>
        <w:widowControl w:val="1"/>
      </w:pPr>
      <w:r>
        <w:t>Triangulación con datos cuantitativos: ¿coinciden las barreras declaradas (P12.2) con las medidas de capacidad observadas (P7.1, P10.3)?</w:t>
      </w:r>
    </w:p>
    <w:p>
      <w:pPr>
        <w:pStyle w:val="Heading2"/>
        <w:keepNext/>
        <w:keepLines/>
      </w:pPr>
      <w:r>
        <w:rPr>
          <w:color w:val="0066CC"/>
        </w:rPr>
        <w:t>6. VALIDACIÓN DEL INSTRUMENTO</w:t>
      </w:r>
    </w:p>
    <w:p>
      <w:pPr>
        <w:pStyle w:val="Heading3"/>
        <w:keepNext/>
        <w:keepLines/>
      </w:pPr>
      <w:r>
        <w:t>6.1 Validez de contenido</w:t>
      </w:r>
    </w:p>
    <w:p>
      <w:r>
        <w:t>Proceso de revisión por panel de expertos (n = 8–10) antes del despliegue:</w:t>
      </w:r>
      <w:r/>
      <w:r>
        <w:br/>
        <w:t>- 2 investigadores académicos en ciberseguridad (universidades españolas)</w:t>
      </w:r>
      <w:r/>
      <w:r>
        <w:br/>
        <w:t>- 2 CISOs de organizaciones con alta madurez (operadores esenciales)</w:t>
      </w:r>
      <w:r/>
      <w:r>
        <w:br/>
        <w:t>- 1 representante de INCIBE / CCN-CERT</w:t>
      </w:r>
      <w:r/>
      <w:r>
        <w:br/>
        <w:t>- 1 auditor certificado (CISA / ISO 27001 Lead Auditor)</w:t>
      </w:r>
      <w:r/>
      <w:r>
        <w:br/>
        <w:t>- 1 jurista especialista en NIS2 / GDPR</w:t>
      </w:r>
      <w:r/>
      <w:r>
        <w:br/>
        <w:t>- 1 experto en diseño de encuestas y metodología de investigación</w:t>
      </w:r>
    </w:p>
    <w:p>
      <w:r>
        <w:t>Criterios de evaluación por ítem: relevancia, claridad, exhaustividad de opciones, ausencia de sesgo en el redactado.</w:t>
      </w:r>
    </w:p>
    <w:p>
      <w:pPr>
        <w:pStyle w:val="Heading3"/>
        <w:keepNext/>
        <w:keepLines/>
      </w:pPr>
      <w:r>
        <w:t>6.2 Validez aparente (Face Validity)</w:t>
      </w:r>
    </w:p>
    <w:p>
      <w:r>
        <w:t>Prueba piloto con muestra pequeña (n = 20–25):</w:t>
      </w:r>
      <w:r/>
      <w:r>
        <w:br/>
        <w:t>- 5 CISOs de PYMEs</w:t>
      </w:r>
      <w:r/>
      <w:r>
        <w:br/>
        <w:t>- 5 CISOs de grandes organizaciones</w:t>
      </w:r>
      <w:r/>
      <w:r>
        <w:br/>
        <w:t>- 5 responsables de riesgo / compliance</w:t>
      </w:r>
      <w:r/>
      <w:r>
        <w:br/>
        <w:t>- 5 técnicos de seguridad</w:t>
      </w:r>
    </w:p>
    <w:p>
      <w:r>
        <w:t>Métricas de validez aparente: tiempo de cumplimentación real vs. estimado, preguntas consideradas ambiguas, opciones de respuesta consideradas incompletas.</w:t>
      </w:r>
    </w:p>
    <w:p>
      <w:pPr>
        <w:pStyle w:val="Heading3"/>
        <w:keepNext/>
        <w:keepLines/>
      </w:pPr>
      <w:r>
        <w:t>6.3 Fiabilidad (consistencia interna)</w:t>
      </w:r>
    </w:p>
    <w:p>
      <w:pPr>
        <w:pStyle w:val="ListBullet"/>
        <w:keepLines w:val="1"/>
        <w:keepNext w:val="1"/>
        <w:widowControl w:val="1"/>
      </w:pPr>
      <w:r>
        <w:t>Alpha de Cronbach para cada bloque temático (ítems con escala ordinal comparable)</w:t>
      </w:r>
    </w:p>
    <w:p>
      <w:pPr>
        <w:pStyle w:val="ListBullet"/>
        <w:keepLines w:val="1"/>
        <w:keepNext w:val="1"/>
        <w:widowControl w:val="1"/>
      </w:pPr>
      <w:r>
        <w:t>Umbral mínimo aceptable: α ≥ 0.70</w:t>
      </w:r>
    </w:p>
    <w:p>
      <w:pPr>
        <w:pStyle w:val="ListBullet"/>
        <w:keepLines w:val="1"/>
        <w:widowControl w:val="1"/>
      </w:pPr>
      <w:r>
        <w:t>Para ítems de selección múltiple: correlación inter-ítem promedio ≥ 0.30</w:t>
      </w:r>
    </w:p>
    <w:p>
      <w:pPr>
        <w:pStyle w:val="Heading3"/>
        <w:keepNext/>
        <w:keepLines/>
      </w:pPr>
      <w:r>
        <w:t>6.4 Validez de constructo</w:t>
      </w:r>
    </w:p>
    <w:p>
      <w:pPr>
        <w:pStyle w:val="ListBullet"/>
        <w:keepLines w:val="1"/>
        <w:keepNext w:val="1"/>
        <w:widowControl w:val="1"/>
      </w:pPr>
      <w:r>
        <w:t>Análisis Factorial Confirmatorio (AFC) para verificar que los cinco bloques DREAD (2–6) se corresponden con cinco factores diferenciados en el espacio de varianza</w:t>
      </w:r>
    </w:p>
    <w:p>
      <w:pPr>
        <w:pStyle w:val="ListBullet"/>
        <w:keepLines w:val="1"/>
        <w:widowControl w:val="1"/>
      </w:pPr>
      <w:r>
        <w:t>Índices de ajuste objetivo: CFI ≥ 0.90, RMSEA ≤ 0.08</w:t>
      </w:r>
    </w:p>
    <w:p>
      <w:pPr>
        <w:pStyle w:val="Heading2"/>
        <w:keepNext/>
        <w:keepLines/>
      </w:pPr>
      <w:r>
        <w:rPr>
          <w:color w:val="0066CC"/>
        </w:rPr>
        <w:t>7. CONSIDERACIONES ÉTICAS Y LEGALES</w:t>
      </w:r>
    </w:p>
    <w:p>
      <w:pPr>
        <w:pStyle w:val="Heading3"/>
        <w:keepNext/>
        <w:keepLines/>
      </w:pPr>
      <w:r>
        <w:t>7.1 Marco normativo aplicable</w:t>
      </w:r>
    </w:p>
    <w:p>
      <w:pPr>
        <w:pStyle w:val="ListBullet"/>
        <w:keepLines w:val="1"/>
        <w:keepNext w:val="1"/>
        <w:widowControl w:val="1"/>
      </w:pPr>
      <w:r>
        <w:t>RGPD (Reglamento UE 2016/679): Los datos de los encuestados son datos personales (nombre, rol, organización). Se aplican principios de minimización, finalidad, exactitud y limitación del plazo de conservación.</w:t>
      </w:r>
    </w:p>
    <w:p>
      <w:pPr>
        <w:pStyle w:val="ListBullet"/>
        <w:keepLines w:val="1"/>
        <w:keepNext w:val="1"/>
        <w:widowControl w:val="1"/>
      </w:pPr>
      <w:r>
        <w:t>LOPDGDD (Ley Orgánica 3/2018): Legislación española de aplicación directa.</w:t>
      </w:r>
    </w:p>
    <w:p>
      <w:pPr>
        <w:pStyle w:val="ListBullet"/>
        <w:keepLines w:val="1"/>
        <w:widowControl w:val="1"/>
      </w:pPr>
      <w:r>
        <w:t>Código Deontológico de ESOMAR / ICC: Para investigaciones de mercado y sociales con encuestas.</w:t>
      </w:r>
    </w:p>
    <w:p>
      <w:pPr>
        <w:pStyle w:val="Heading3"/>
        <w:keepNext/>
        <w:keepLines/>
      </w:pPr>
      <w:r>
        <w:t>7.2 Medidas de protección de datos</w:t>
      </w:r>
    </w:p>
    <w:p>
      <w:pPr>
        <w:pStyle w:val="ListBullet"/>
        <w:keepLines w:val="1"/>
        <w:keepNext w:val="1"/>
        <w:widowControl w:val="1"/>
      </w:pPr>
      <w:r>
        <w:t>No se recogerá el nombre de la organización si el encuestado elige responder de forma anónima total.</w:t>
      </w:r>
    </w:p>
    <w:p>
      <w:pPr>
        <w:pStyle w:val="ListBullet"/>
        <w:keepLines w:val="1"/>
        <w:keepNext w:val="1"/>
        <w:widowControl w:val="1"/>
      </w:pPr>
      <w:r>
        <w:t>Los datos identificativos se separan de las respuestas en el momento de la recepción.</w:t>
      </w:r>
    </w:p>
    <w:p>
      <w:pPr>
        <w:pStyle w:val="ListBullet"/>
        <w:keepLines w:val="1"/>
        <w:keepNext w:val="1"/>
        <w:widowControl w:val="1"/>
      </w:pPr>
      <w:r>
        <w:t>Los datos se almacenan en servidores dentro de la UE con cifrado en reposo y en tránsito.</w:t>
      </w:r>
    </w:p>
    <w:p>
      <w:pPr>
        <w:pStyle w:val="ListBullet"/>
        <w:keepLines w:val="1"/>
        <w:keepNext w:val="1"/>
        <w:widowControl w:val="1"/>
      </w:pPr>
      <w:r>
        <w:t>El período de conservación de datos identificativos es de 24 meses; los datos anonimizados se pueden conservar indefinidamente para fines de investigación.</w:t>
      </w:r>
    </w:p>
    <w:p>
      <w:pPr>
        <w:pStyle w:val="ListBullet"/>
        <w:keepLines w:val="1"/>
        <w:widowControl w:val="1"/>
      </w:pPr>
      <w:r>
        <w:t>Los encuestados tienen derecho de acceso, rectificación, supresión y portabilidad (artículos 15–20 RGPD).</w:t>
      </w:r>
    </w:p>
    <w:p>
      <w:pPr>
        <w:pStyle w:val="Heading3"/>
        <w:keepNext/>
        <w:keepLines/>
      </w:pPr>
      <w:r>
        <w:t>7.3 Declaración de conflicto de intereses</w:t>
      </w:r>
    </w:p>
    <w:p>
      <w:r>
        <w:t>Los investigadores que administren esta encuesta deben declarar explícitamente cualquier relación comercial o financiera con proveedores de herramientas de ciberseguridad, consultoras o certificadoras que pudiera influir en el diseño, análisis o comunicación de resultados.</w:t>
      </w:r>
    </w:p>
    <w:p>
      <w:pPr>
        <w:pStyle w:val="Heading2"/>
        <w:keepNext/>
        <w:keepLines/>
      </w:pPr>
      <w:r>
        <w:rPr>
          <w:color w:val="0066CC"/>
        </w:rPr>
        <w:t>8. PLAN DE DIFUSIÓN DE RESULTADOS</w:t>
      </w:r>
    </w:p>
    <w:p>
      <w:pPr>
        <w:pStyle w:val="Heading3"/>
        <w:keepNext/>
        <w:keepLines/>
      </w:pPr>
      <w:r>
        <w:t>8.1 Productos de conocimiento previstos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Producto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Formato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Canal de difusión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Informe ejecutivo (5–8 páginas)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PDF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CISOs, directivos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INCIBE, CCN-CERT, LinkedIn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Informe completo de investigación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PDF / Web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Investigadores, reguladores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DOI / repositorio académico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Dashboard interactivo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Web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INCIBE / ISMS Forum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académico (peer-reviewed)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Revista indexada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Comunidad científica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ESWA, Computers &amp; Security, MDPI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Nota de política (policy brief)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PDF 2 páginas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CNCS, Ministerio de Transformación Digital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Canal institucional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Presentación sectorial (x5)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Slides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Cada sector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Eventos ISAC, RootedCON, etc.</w:t>
            </w:r>
          </w:p>
        </w:tc>
      </w:tr>
    </w:tbl>
    <w:p/>
    <w:p>
      <w:pPr>
        <w:pStyle w:val="Heading3"/>
        <w:keepNext/>
        <w:keepLines/>
      </w:pPr>
      <w:r>
        <w:t>8.2 Calendario indicativo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Duración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Validación del instrumento (panel expertos)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Piloto y ajuste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M3–M4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Trabajo de campo (distribución + recogida)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Limpieza de datos y codificación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Análisis estadístico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Redacción del informe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M8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Revisión y difusión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 semanas</w:t>
            </w:r>
          </w:p>
        </w:tc>
      </w:tr>
    </w:tbl>
    <w:p/>
    <w:p>
      <w:r>
        <w:rPr>
          <w:i/>
        </w:rPr>
        <w:t>Kit de Encuesta DREAD · Guía Metodológica v1.0 · Abril 2026</w:t>
      </w:r>
      <w:r/>
      <w:r>
        <w:br/>
      </w:r>
      <w:r>
        <w:rPr>
          <w:i/>
        </w:rPr>
        <w:t>Diseñada con base en: metodología GQM (INCIBE-IMC), FAIR, ENISA CTL Methodology 2025, NIS2, ENS, DORA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