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</w:t>
      </w:r>
    </w:p>
    <w:p>
      <w:pPr>
        <w:pStyle w:val="Heading2"/>
        <w:keepNext/>
        <w:keepLines/>
      </w:pPr>
      <w:r>
        <w:rPr>
          <w:color w:val="0066CC"/>
        </w:rPr>
        <w:t>Calificación de las 23 Métricas DREAD bajo los 9 Criterios de Calidad</w:t>
      </w:r>
    </w:p>
    <w:p>
      <w:pPr>
        <w:pStyle w:val="Heading3"/>
        <w:keepNext/>
        <w:keepLines/>
      </w:pPr>
      <w:r>
        <w:t>Kit GQM+PRAGMATIC · Edición 2025–2026 · España</w:t>
      </w:r>
    </w:p>
    <w:p>
      <w:r>
        <w:rPr>
          <w:i/>
        </w:rPr>
        <w:t>"Medir la calidad de una métrica con otra métrica: esto es lo que los filósofos de la ciencia llaman metametría, y lo que los CISOs experimentados llaman 'aprender de los errores ajenos antes de cometer los propios'."</w:t>
      </w:r>
    </w:p>
    <w:p>
      <w:pPr>
        <w:pStyle w:val="Heading2"/>
        <w:keepNext/>
        <w:keepLines/>
      </w:pPr>
      <w:r>
        <w:rPr>
          <w:color w:val="0066CC"/>
        </w:rPr>
        <w:t>GUÍA DE PUNTUACIÓN PRAGMATIC</w:t>
      </w:r>
    </w:p>
    <w:p>
      <w:r>
        <w:t xml:space="preserve">Cada criterio se puntúa de </w:t>
      </w:r>
      <w:r>
        <w:rPr>
          <w:b/>
        </w:rPr>
        <w:t>0 a 10</w:t>
      </w:r>
      <w:r>
        <w:t xml:space="preserve"> según la escala: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Significado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9–10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Criterio plenamente satisfecho; sin reservas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7–8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Criterio bien satisfecho; mejoras menores posibles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5–6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Criterio parcialmente satisfecho; requiere atención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3–4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Criterio débilmente satisfecho; mejora prioritaria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0–2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Criterio no satisfecho; revisar la métrica</w:t>
            </w:r>
          </w:p>
        </w:tc>
      </w:tr>
    </w:tbl>
    <w:p/>
    <w:p>
      <w:r>
        <w:rPr>
          <w:b/>
        </w:rPr>
        <w:t>Umbrales de decisión sobre la métrica:</w:t>
      </w:r>
      <w:r/>
      <w:r>
        <w:br/>
        <w:t xml:space="preserve">- </w:t>
      </w:r>
      <w:r>
        <w:rPr>
          <w:b/>
        </w:rPr>
        <w:t>&gt;= 72</w:t>
      </w:r>
      <w:r>
        <w:t xml:space="preserve"> (80%+): Métrica de élite — adoptar sin reservas</w:t>
      </w:r>
      <w:r/>
      <w:r>
        <w:br/>
        <w:t xml:space="preserve">- </w:t>
      </w:r>
      <w:r>
        <w:rPr>
          <w:b/>
        </w:rPr>
        <w:t>63–71</w:t>
      </w:r>
      <w:r>
        <w:t xml:space="preserve"> (70–79%): Alta calidad — adoptar con monitorización</w:t>
      </w:r>
      <w:r/>
      <w:r>
        <w:br/>
        <w:t xml:space="preserve">- </w:t>
      </w:r>
      <w:r>
        <w:rPr>
          <w:b/>
        </w:rPr>
        <w:t>45–62</w:t>
      </w:r>
      <w:r>
        <w:t xml:space="preserve"> (50–69%): Calidad media — adoptar con mejoras</w:t>
      </w:r>
      <w:r/>
      <w:r>
        <w:br/>
        <w:t xml:space="preserve">- </w:t>
      </w:r>
      <w:r>
        <w:rPr>
          <w:b/>
        </w:rPr>
        <w:t>&lt; 45</w:t>
      </w:r>
      <w:r>
        <w:t xml:space="preserve"> (&lt;50%): Baja calidad — revisar o descartar</w:t>
      </w:r>
    </w:p>
    <w:p>
      <w:pPr>
        <w:pStyle w:val="Heading2"/>
        <w:keepNext/>
        <w:keepLines/>
      </w:pPr>
      <w:r>
        <w:rPr>
          <w:color w:val="0066CC"/>
        </w:rPr>
        <w:t>EVALUACIÓN POR DIMENSIÓN DREAD</w:t>
      </w:r>
    </w:p>
    <w:p>
      <w:pPr>
        <w:pStyle w:val="Heading3"/>
        <w:keepNext/>
        <w:keepLines/>
      </w:pPr>
      <w:r>
        <w:t>DIMENSIÓN D — DAÑO</w:t>
      </w:r>
    </w:p>
    <w:p>
      <w:pPr>
        <w:pStyle w:val="Heading4"/>
        <w:keepNext/>
        <w:keepLines/>
      </w:pPr>
      <w:r>
        <w:t>D.M1 — ALE por amenaza crítica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aplicada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Predice el coste financiero futuro con base en frecuencia histórica. Alta capacidad para planificación presupuestaria.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Alineado con ON-1, DORA Art.6 y el apetito de riesgo del Consejo. Extremadamente relevante para decisiones de inversión.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Genera decisiones concretas: ajustar controles, renegociar seguros cyber, revisar BCP. El €/año tiene traducción directa a presupuesto.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manipularse si ARO o SLE se estiman sin datos históricos sólidos. Requiere auditabilidad de estimaciones.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Completamente comprensible para el CFO y la alta dirección. "Pérdida esperada anual de X euros" es el lenguaje de los negocios.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La precisión depende de la calidad de los datos históricos. Con datos reales: alta. Sin ellos: estimación gruesa.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Cálculo trimestral adecuado para ciclos de planificación. Requiere actualización tras incidentes mayores.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Relativamente independiente. Cierta correlación con D.M4 (TBNO).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Coste moderado si existe CMDB y registros históricos. ROI muy alto: justifica inversiones millonarias con horas de análisis.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Nivel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ALTA — Adoptar con monitorización. Validar ARO/SLE con datos históricos mínimo 3 años. Usar metodología FAIR para mayor rigor.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★★★★☆</w:t>
            </w:r>
          </w:p>
        </w:tc>
      </w:tr>
    </w:tbl>
    <w:p/>
    <w:p>
      <w:pPr>
        <w:pStyle w:val="Heading4"/>
        <w:keepNext/>
        <w:keepLines/>
      </w:pPr>
      <w:r>
        <w:t>D.M2 — Índice de Exposición de Activos Críticos (IEAC)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aplicada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Indica blast radius potencial; predice impacto operativo si se compromete el sistema crítico.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relevante para ENS (inventario activos) y NIS2 Art.21.2.f. Alta relevancia para CISO y arquitecto.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Genera acciones concretas de segmentación y micro-segmentación. % elevado = "microsegmentar ahora".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la calidad del CMDB. Si el inventario está desactualizado, la métrica engaña con datos aparentemente precisos.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"El 40% de nuestros activos críticos quedarían comprometidos" es comprensible para la dirección.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 precisión si el CMDB es correcto. En la práctica, la mayoría de las organizaciones tienen CMDB incompleto.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Disponible mensualmente. Actualizable en tiempo real con herramientas BAS/ASM.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 independencia: no correlaciona directamente con otras métricas del set.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Coste moderado si el CMDB existe. Coste alto si hay que construirlo desde cero.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Nivel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MEDIA — Adoptar con mejoras: priorizar actualización del CMDB como condición previa.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★★★☆☆</w:t>
            </w:r>
          </w:p>
        </w:tc>
      </w:tr>
    </w:tbl>
    <w:p/>
    <w:p>
      <w:pPr>
        <w:pStyle w:val="Heading4"/>
        <w:keepNext/>
        <w:keepLines/>
      </w:pPr>
      <w:r>
        <w:t>D.M3 — RTO realista vs. RTO objetivo (RTO gap)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aplicada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Predice la capacidad real de recuperación ante incidente de máxima severidad.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Altamente relevante para DORA Art.11, NIS2 Art.21.2.c. KPI de primer nivel para operadores esenciales.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Gap positivo = invertir en capacidad de recuperación (backups, failover, DRP actualizado). Acción directa y clara.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Los ejercicios BCP/DRP pueden ser "ensayados". La genuinidad aumenta con ejercicios sorpresa o red team.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"Tardamos 6 horas más de lo permitido en recuperar el servicio" es perfectamente comprensible para el Consejo.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 precisión si los ejercicios son realistas. Baja si los escenarios son artificialmente favorables.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Semestral adecuado para ciclos de planificación. Puede ser insuficiente con cambios frecuentes de arquitectura.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 del resto de métricas DREAD. Mide recuperación, no prevención.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Los ejercicios BCP tienen coste significativo pero el ROI de conocer el gap es muy alto.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Nivel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ÉLITE — Adoptar sin reservas. Indispensable para DORA y NIS2.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★★★★★</w:t>
            </w:r>
          </w:p>
        </w:tc>
      </w:tr>
    </w:tbl>
    <w:p/>
    <w:p>
      <w:pPr>
        <w:pStyle w:val="Heading4"/>
        <w:keepNext/>
        <w:keepLines/>
      </w:pPr>
      <w:r>
        <w:t>D.M4 — Tasa de Brechas con Notificación Obligatoria (TBNO)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aplicada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el pasado inmediato. TBNO creciente predice mayor presión regulatoria.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relevante para DPO, GDPR Art.33-34 y el registro del DPO.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TBNO alta = revisar arquitectura de datos y controles de acceso.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Riesgo de infra-reporte si hay incentivos para clasificar incidentes como no notificables.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Comprensible para DPO, asesoría legal y auditoría.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criterios claros de clasificación. Alta variabilidad interpretativa.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Mensual es adecuado.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Relativamente independiente. Correlaciona con D.M1 en algunos casos.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bajo coste: datos del registro DPO ya obligatorio por GDPR.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Nivel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MEDIA — Adoptar; mejorar criterios de clasificación de incidentes con datos personales.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★★★☆☆</w:t>
            </w:r>
          </w:p>
        </w:tc>
      </w:tr>
    </w:tbl>
    <w:p/>
    <w:p>
      <w:pPr>
        <w:pStyle w:val="Heading4"/>
        <w:keepNext/>
        <w:keepLines/>
      </w:pPr>
      <w:r>
        <w:t>D.M5 — Tiempo medio de clasificación DREAD-D (TMCD)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aplicada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TMCD largo predice clasificaciones tardías que retrasan la respuesta a incidentes.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relevante para el proceso de gestión de amenazas y NIS2 Art.23 (alerta 24h).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TMCD &gt; 24h = revisar proceso de triage, automatizar clasificación inicial, formar al equipo.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Fácil de medir objetivamente desde timestamps del ITSM. Alta genuinidad.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Comprensible para CISO y directores de operaciones.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 precisión si el ITSM registra timestamps con exactitud.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Disponible en tiempo casi real desde el ITSM.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 independencia del resto de métricas.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bajo coste: dato extraído automáticamente del ITSM existente.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Nivel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ÉLITE — Adoptar sin reservas. Métrica operativa de coste marginal nulo.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★★★★★</w:t>
            </w:r>
          </w:p>
        </w:tc>
      </w:tr>
    </w:tbl>
    <w:p/>
    <w:p>
      <w:pPr>
        <w:pStyle w:val="Heading3"/>
        <w:keepNext/>
        <w:keepLines/>
      </w:pPr>
      <w:r>
        <w:t>DIMENSIÓN R — REPRODUCIBILIDAD</w:t>
      </w:r>
    </w:p>
    <w:p>
      <w:pPr>
        <w:pStyle w:val="Heading4"/>
        <w:keepNext/>
        <w:keepLines/>
      </w:pPr>
      <w:r>
        <w:t>R.M1 — MTTR por criticidad DREAD-R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aplicada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MTTR elevado predice que los sistemas permanecerán expuestos a exploits el tiempo suficiente para ser comprometidos.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El KPI más relevante de la gestión de vulnerabilidades. Ligado a ENS Med.5 y CRA Art.13.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MTTR &gt; umbral = escalar prioridad, asignar más recursos de parcheo, revisar el SLA del proceso VM.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Los timestamps de parcheo son objetivos y verificables. Difícil manipular sin dejar rastro.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"Tardamos 15 días en parchear una vulnerabilidad con exploit público" habla por sí solo a todos los niveles.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 precisión si la VM tool registra fechas de publicación CVE y de aplicación del parche.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Disponible mensualmente de forma automática desde la VM tool.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 independencia. El MTTR mide velocidad de remediación, diferente a otras métricas.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Disponible desde herramientas VM ya desplegadas. Coste marginal muy bajo.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Nivel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ÉLITE — Métrica de referencia obligatoria. Benchmark universal del sector.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★★★★★</w:t>
            </w:r>
          </w:p>
        </w:tc>
      </w:tr>
    </w:tbl>
    <w:p/>
    <w:p>
      <w:pPr>
        <w:pStyle w:val="Heading4"/>
        <w:keepNext/>
        <w:keepLines/>
      </w:pPr>
      <w:r>
        <w:t>R.M2 — Tasa de Vulnerabilidades EPSS-alto sin Remediar (TVER)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aplicada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EPSS es por definición predictivo (probabilidad empírica de explotación). TVER supera a CVSS en 33× (AUPRC 0.365 vs 0.011).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Más relevante que CVSS puro para priorización real: identifica las que los atacantes están explotando actualmente.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TVER &gt; 20% = movilización urgente del equipo de parcheo con criterio de priorización claro.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EPSS score de FIRST.org es un modelo ML externo e independiente. Difícilmente manipulable internamente.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"El 15% de nuestras vulnerabilidades tienen alta probabilidad de explotación en 30 días y no están parchadas" es un mensaje potente.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EPSS v3 tiene alta precisión empírica validada con datos reales.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EPSS se actualiza diariamente. TVER calculable semanalmente vía API.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 independencia. No correlaciona directamente con MTTR ni SMEC.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API EPSS de FIRST.org es gratuita. Coste de integración mínimo.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Nivel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ÉLITE MÁXIMA — La métrica predictiva más valiosa del kit. Adoptar de inmediato.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★★★★★</w:t>
            </w:r>
          </w:p>
        </w:tc>
      </w:tr>
    </w:tbl>
    <w:p/>
    <w:p>
      <w:pPr>
        <w:pStyle w:val="Heading4"/>
        <w:keepNext/>
        <w:keepLines/>
      </w:pPr>
      <w:r>
        <w:t>R.M3 — Índice de Cobertura de Exploits Públicos (ICEP)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aplicada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Indica la "biblioteca de ataques disponibles". Un ICEP alto predice ataques más probables.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Complementa R.M2 con perspectiva de disponibilidad de toolkits de ataque.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Cada exploit público identificado = candidato inmediato para parcheo o mitigación compensatoria.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de ExploitDB y Metasploit son bases públicas verificables. Alta genuinidad.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"El 30% de nuestras amenazas tienen exploit listo para usar en Metasploit" es impactante y comprensible.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mantener el registro DREAD actualizado.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Verificación mensual puede ser tardía para exploits de día cero.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Correlaciona con R.M2 (los CVEs con exploits públicos suelen tener EPSS alto). Cierta redundancia.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Bases ExploitDB y Metasploit son gratuitas. La automatización del matching requiere desarrollo inicial.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Nivel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ALTA — Adoptar; considerar automatizar la verificación diaria vía API.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★★★★☆</w:t>
            </w:r>
          </w:p>
        </w:tc>
      </w:tr>
    </w:tbl>
    <w:p/>
    <w:p>
      <w:pPr>
        <w:pStyle w:val="Heading4"/>
        <w:keepNext/>
        <w:keepLines/>
      </w:pPr>
      <w:r>
        <w:t>R.M4 — Ventana de Exposición a Exploit (VEE)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aplicada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VEE larga predice alta probabilidad de compromiso antes del parcheo.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el problema central de la reproducibilidad: el tiempo de ventaja del atacante.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VEE &gt; umbral = revisar proceso de detección/parcheo; implementar controles compensatorios.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Combinación de timestamps verificables (NVD + VM tool). Alta genuinidad.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"Tardamos 45 días en detectar una vulnerabilidad con exploit público en nuestra infraestructura" es impactante.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 precisión: ambas fechas son objetivas y verificables.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Calculable por incidente en tiempo real. Tendencia mensual es oportuna.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 independencia. Mide el gap temporal, distinto a la tasa de remediación (R.M1).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Bajo coste si la VM tool y el SIEM registran los timestamps necesarios.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Nivel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ÉLITE — Adoptar sin reservas. Perspectiva de ventana temporal única.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★★★★★</w:t>
            </w:r>
          </w:p>
        </w:tc>
      </w:tr>
    </w:tbl>
    <w:p/>
    <w:p>
      <w:pPr>
        <w:pStyle w:val="Heading3"/>
        <w:keepNext/>
        <w:keepLines/>
      </w:pPr>
      <w:r>
        <w:t>DIMENSIÓN E — EXPLOTABILIDAD</w:t>
      </w:r>
    </w:p>
    <w:p>
      <w:pPr>
        <w:pStyle w:val="Heading4"/>
        <w:keepNext/>
        <w:keepLines/>
      </w:pPr>
      <w:r>
        <w:t>E.M1 — Score medio de explotabilidad CVSS v4.0 (SMEC)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aplicada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CVSS mide severidad técnica, no probabilidad de explotación. Valor predictivo muy limitado (AUPRC 0.011).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 como medida de severidad técnica y para comparación con benchmarks del sector.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Genera priorización de parcheo, aunque subóptima sin EPSS. SMEC &gt; 7.5 = movilizar recursos VM.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CVSS scores son públicos y provienen del NVD. Alta genuinidad del dato.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Comprensible para equipos técnicos. Requiere contexto para la alta dirección.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Técnicamente preciso para severidad. No preciso para probabilidad de explotación real.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Disponible vía API NVD en tiempo real para cada CVE.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Metodológicamente independiente de EPSS. Mide dimensiones distintas aunque correlacionadas.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Coste prácticamente nulo: API pública del NVD gratuita.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Nivel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ALTA — Adoptar como métrica de severidad técnica. NO usar como predictor de explotación real (usar EPSS/KEV para ello).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★★★★☆</w:t>
            </w:r>
          </w:p>
        </w:tc>
      </w:tr>
    </w:tbl>
    <w:p/>
    <w:p>
      <w:pPr>
        <w:pStyle w:val="Heading4"/>
        <w:keepNext/>
        <w:keepLines/>
      </w:pPr>
      <w:r>
        <w:t>E.M2 — Tasa de Coincidencia con CISA KEV (TCKEV) ★ #1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aplicada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Vulnerabilidades en KEV = explotadas activamente AHORA. TCKEV &gt; 0% predice compromiso inminente sin acción.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Extremadamente relevante: KEV = "lista de las más buscadas" del mundo cyber. Máxima relevancia operativa.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Cualquier CVE en KEV activo en la organización = prioridad máxima absoluta de parcheo. Accionabilidad binaria y urgente.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KEV es lista oficial del gobierno de EEUU (CISA). Máxima autoridad y credibilidad. Imposible de manipular.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"Tenemos 3 vulnerabilidades que el gobierno de EEUU certifica que están siendo explotadas por hackers ahora mismo" = máximo impacto posible.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 precisión: el matching CVE-KEV es un join exacto entre dos bases de datos estructuradas.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KEV se actualiza diariamente. TCKEV calculable diariamente de forma automatizada.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Complementario pero no redundante con EPSS. KEV valida explotación real; EPSS predice futura.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KEV gratuito, API JSON pública. Coste de integración mínimo.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Nivel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ÉLITE ABSOLUTA — La métrica de mejor calidad PRAGMATIC del kit completo. Adoptar de inmediato.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★★★★★</w:t>
            </w:r>
          </w:p>
        </w:tc>
      </w:tr>
    </w:tbl>
    <w:p/>
    <w:p>
      <w:pPr>
        <w:pStyle w:val="Heading4"/>
        <w:keepNext/>
        <w:keepLines/>
      </w:pPr>
      <w:r>
        <w:t>E.M3 — Score DREAD-E para ataques sobre IA/LLMs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aplicada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Vector LLM de crecimiento más rápido en 2025-2026 (Zahid et al., U.Waikato). Alta capacidad predictiva emergente.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relevante para organizaciones con sistemas de IA en producción. Relevancia creciente con adopción de IA generativa.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E_LLM &gt; 7 = implementar controles IA security (validación de prompts, guardrails, monitoring de outputs).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red team especializado en LLMs. Sin red team, la métrica es estimativa y potencialmente sesgada.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Comprensible para equipos técnicos de IA y seguridad. Requiere contexto para dirección no técnica.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Metodologías de evaluación de seguridad IA todavía madurando (OWASP LLM Top 10 v2025).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Red team LLM es ejercicio periódico (trimestral/semestral), no continuo.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Altamente independiente: cubre vector de ataque emergente no capturado por métricas tradicionales.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expertise especializado. Coste inicial significativo pero el coste del no-hacerlo puede ser muy elevado.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Nivel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MEDIA — Adoptar para org. con IA en producción. Invertir en capacidad red team LLM.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★★★☆☆</w:t>
            </w:r>
          </w:p>
        </w:tc>
      </w:tr>
    </w:tbl>
    <w:p/>
    <w:p>
      <w:pPr>
        <w:pStyle w:val="Heading4"/>
        <w:keepNext/>
        <w:keepLines/>
      </w:pPr>
      <w:r>
        <w:t>E.M4 — Tiempo medio de contención de explotación (TMCE)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aplicada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TMCE histórico bajo predice buenos resultados en próximos incidentes. Valor predictivo operativo.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relevante para SOC/CIRT y cumplimiento DORA Art.19 y NIS2 Art.23.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TMCE &gt; 1h = revisar playbooks, automatizar respuestas SOAR, mejorar capacidad SOC.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Timestamps del SIEM/SOAR son objetivos. Alta genuinidad.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"Tardamos 3 horas en contener el último exploit detectado" es comprensible y relevante para operaciones.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 precisión: dato de sistema con timestamps auditables.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Disponible en tiempo real desde el SIEM. Muy oportuno.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 independencia. Mide velocidad de respuesta, no severidad ni probabilidad.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Extracción automática del SIEM/SOAR ya desplegado. Coste marginal prácticamente nulo.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Nivel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ÉLITE — Métrica operativa de primer nivel. Disponible en tiempo real.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★★★★★</w:t>
            </w:r>
          </w:p>
        </w:tc>
      </w:tr>
    </w:tbl>
    <w:p/>
    <w:p>
      <w:pPr>
        <w:pStyle w:val="Heading4"/>
        <w:keepNext/>
        <w:keepLines/>
      </w:pPr>
      <w:r>
        <w:t>E.M5 — Índice de Cobertura de Controles Anti-Explotación (ICCAE)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aplicada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Cobertura alta de controles predice mayor resistencia a la explotación. Relación predictiva razonable.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 para auditoría, ENS, NIS2 Art.21.2.g y seguimiento del roadmap de mejora.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ICCAE &lt; 80% = identificar activos sin cobertura y priorizar su protección.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inventario completo y de que los controles estén realmente activos y correctamente configurados.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"Solo el 65% de nuestros sistemas tienen MFA activo" es comprensible a todos los niveles.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La precisión depende de la granularidad del inventario y de cómo se definen los controles activos.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Actualizable mensualmente. Con CSPM puede ser continuo.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 de las métricas de vulnerabilidad. Mide la capa de control, no el vector de ataque.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Moderado: requiere herramientas de gestión de configuración o revisión manual periódica.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Nivel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ALTA — Adoptar con inversión en automatización de gestión de configuración (CSPM).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★★★★☆</w:t>
            </w:r>
          </w:p>
        </w:tc>
      </w:tr>
    </w:tbl>
    <w:p/>
    <w:p>
      <w:pPr>
        <w:pStyle w:val="Heading3"/>
        <w:keepNext/>
        <w:keepLines/>
      </w:pPr>
      <w:r>
        <w:t>DIMENSIÓN A — USUARIOS AFECTADOS</w:t>
      </w:r>
    </w:p>
    <w:p>
      <w:pPr>
        <w:pStyle w:val="Heading4"/>
        <w:keepNext/>
        <w:keepLines/>
      </w:pPr>
      <w:r>
        <w:t>A.M1 — Usuarios Máximos Potencialmente Afectados (UMPA)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aplicada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Define el escenario de peor caso para el impacto ciudadano. Alta capacidad para modelar escenarios NIS2.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Máximamente relevante para operadores de servicios esenciales ante NIS2 Art.23.3 (umbral "gran magnitud").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UMPA &gt; 50.000 = activar protocolo de notificación CNCS; diseñar planes de contingencia escalados.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 estructural del negocio (base de usuarios). Alta genuinidad si la base está actualizada.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"En caso de incidente en nuestro sistema X, 2,3 millones de ciudadanos quedarían sin servicio" = alto impacto para el Consejo.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 precisión si la base de usuarios/clientes está actualizada.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Actualizable semestralmente. Suficiente para un dato estructural.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 independencia: mide escala de impacto potencial, no severidad técnica.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Bajo coste: dato del CRM/base de usuarios ya existente.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Nivel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ÉLITE — Indispensable para operadores de servicios esenciales.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★★★★★</w:t>
            </w:r>
          </w:p>
        </w:tc>
      </w:tr>
    </w:tbl>
    <w:p/>
    <w:p>
      <w:pPr>
        <w:pStyle w:val="Heading4"/>
        <w:keepNext/>
        <w:keepLines/>
      </w:pPr>
      <w:r>
        <w:t>A.M2 — Índice de Usuarios Vulnerables Afectados (IUVA)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aplicada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Indica si un incidente podría desencadenar obligaciones reforzadas GDPR Art.9 y mayor escrutinio regulatorio.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relevante para hospitales, servicios sociales, plataformas de menores y cualquier org. con datos GDPR Art.9.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IUVA &gt; 30% = priorizar protección de esos servicios y datos; revisar medidas Art.32 GDPR.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clasificación de usuarios por categoría de datos. Difícil sin arquitectura de datos clara.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Comprensible para DPO y equipos legales. Requiere contexto para equipos técnicos.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la granularidad de la clasificación de datos GDPR Art.9.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Revisión anual suficiente para un dato estructural.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 independencia del resto de métricas del set.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trabajo de clasificación de datos (Art.9 mapping) que puede tener coste significativo si no existe.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Nivel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MEDIA — Adoptar para org. con datos de categoría especial (hospitales, menores). Invertir en data classification.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★★★☆☆</w:t>
            </w:r>
          </w:p>
        </w:tc>
      </w:tr>
    </w:tbl>
    <w:p/>
    <w:p>
      <w:pPr>
        <w:pStyle w:val="Heading4"/>
        <w:keepNext/>
        <w:keepLines/>
      </w:pPr>
      <w:r>
        <w:t>A.M3 — Tiempo medio de notificación a usuarios (TMNU)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aplicada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eficacia pasada. Predice cumplimiento futuro de obligaciones GDPR Art.34.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relevante para DPO, asesoría legal y GDPR Art.33-34. Relevancia regulatoria muy alta.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TMNU &gt; 72h = revisar proceso de detección y escalado al DPO; activar procedimiento de notificación acelerada.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Timestamps verificables del DPO y del registro de incidentes. Alta genuinidad.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"Tardamos 5 días en notificar a los usuarios cuando el límite es 30 días" es comprensible para todos.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 precisión: timestamp con referencia regulatoria clara (72h AEPD; 30 días para afectados).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Calculable por incidente en tiempo real.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 independencia. Mide el proceso de comunicación, no el impacto técnico.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Coste prácticamente nulo si el registro DPO está en orden (ya obligatorio por GDPR).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Nivel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ÉLITE — Obligatoria para cumplimiento GDPR. Adoptar sin reservas.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★★★★★</w:t>
            </w:r>
          </w:p>
        </w:tc>
      </w:tr>
    </w:tbl>
    <w:p/>
    <w:p>
      <w:pPr>
        <w:pStyle w:val="Heading4"/>
        <w:keepNext/>
        <w:keepLines/>
      </w:pPr>
      <w:r>
        <w:t>A.M4 — Coste por Usuario Afectado (CUA)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aplicada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CUA histórico alto predice coste total elevado en futuros incidentes con alto número de afectados.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 para el CFO, el Consejo y los seguros cyber. Traduce el impacto en ratio por usuario.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CUA &gt; benchmark sectorial = revisar eficiencia del proceso de respuesta; reducir el blast radius.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contabilización completa del coste total. Tendencia a subestimar costes indirectos y reputacionales.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"Cada usuario afectado nos costó 340 euros en el último incidente" es un mensaje financiero muy potente.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Moderada: la contabilización completa puede tomar meses.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El dato real está disponible semanas/meses después del incidente. Limitada oportunidad.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Correlaciona con D.M1 (ALE) pero desde perspectiva por usuario.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proceso formal de contabilización post-incidente. Coste significativo si no existe.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Nivel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MEDIA — Útil para benchmarking y seguros cyber. Implementar proceso de contabilización post-incidente.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★★★☆☆</w:t>
            </w:r>
          </w:p>
        </w:tc>
      </w:tr>
    </w:tbl>
    <w:p/>
    <w:p>
      <w:pPr>
        <w:pStyle w:val="Heading4"/>
        <w:keepNext/>
        <w:keepLines/>
      </w:pPr>
      <w:r>
        <w:t>A.M5 — Cobertura de Continuidad para Usuarios Críticos (CCUC)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aplicada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Cobertura alta del BCP predice mayor resiliencia y menor impacto en usuarios durante un incidente.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relevante para operadores esenciales NIS2 y DORA Art.11 (continuidad del negocio TIC).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CCUC &lt; 99% en esenciales = identificar usuarios no cubiertos y ampliar el BCP.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La "cobertura BCP" puede ser teórica si los planes no se han testado. Requiere validación mediante ejercicios.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"Solo el 72% de nuestros usuarios críticos tienen plan de continuidad activo" es comprensible y preocupante.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Moderada: la definición de "cubierto por BCP" puede ser ambigua sin criterios claros.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Revisión semestral (post-ejercicio BCP). Suficiente.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 independencia del resto del set. Mide preparación estructural, no riesgo técnico.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El BCP ya es obligatorio (NIS2, DORA). Medir la cobertura no añade coste significativo.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Nivel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ALTA — Adoptar; validar cobertura con ejercicios reales periódicos.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★★★★☆</w:t>
            </w:r>
          </w:p>
        </w:tc>
      </w:tr>
    </w:tbl>
    <w:p/>
    <w:p>
      <w:pPr>
        <w:pStyle w:val="Heading3"/>
        <w:keepNext/>
        <w:keepLines/>
      </w:pPr>
      <w:r>
        <w:t>DIMENSIÓN Disc — DESCUBRIBILIDAD</w:t>
      </w:r>
    </w:p>
    <w:p>
      <w:pPr>
        <w:pStyle w:val="Heading4"/>
        <w:keepNext/>
        <w:keepLines/>
      </w:pPr>
      <w:r>
        <w:t>Disc.M1 — Ratio de Superficie de Ataque Expuesta (RSAE)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aplicada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RSAE alto predice mayor probabilidad de descubrimiento y explotación por atacantes externos.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relevante para gestión de la superficie de ataque, CRA Art.13 y NIS2 Art.21.2.e.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RSAE &gt; 15% = revisar firewall rules, retirar servicios innecesarios, implementar ASM continuo.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Las herramientas ASM/Shodan/Censys miden la realidad objetiva del espacio internet.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"El 8% de nuestra infraestructura es visible desde internet sin credenciales" es comprensible y alarmante.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 precisión si las herramientas ASM tienen cobertura completa del espacio de IPs de la organización.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Disponible semanalmente de forma automatizada. Muy oportuno.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 independencia del resto de métricas. Perspectiva del atacante.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Shodan/Censys tienen versiones gratuitas o de muy bajo coste. ROI excelente.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Nivel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ÉLITE MÁXIMA — Métrica de perspectiva del atacante insustituible. Adoptar con ASM continuo.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★★★★★</w:t>
            </w:r>
          </w:p>
        </w:tc>
      </w:tr>
    </w:tbl>
    <w:p/>
    <w:p>
      <w:pPr>
        <w:pStyle w:val="Heading4"/>
        <w:keepNext/>
        <w:keepLines/>
      </w:pPr>
      <w:r>
        <w:t>Disc.M2 — Ratio de Detección Proactiva vs. Reactiva (RDPR)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aplicada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RDPR bajo predice que la organización continuará siendo sorprendida. Alta relevancia predictiva estratégica.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el aspecto más estratégico de la descubribilidad: ¿quién descubre antes, nosotros o el atacante?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RDPR &lt; 50% = invertir en threat hunting proactivo, red team, bug bounty program.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La clasificación de detecciones como "proactivas" o "reactivas" puede ser subjetiva. Requiere criterios claros.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"En el 60% de los casos, el atacante descubrió la vulnerabilidad antes que nosotros" = mensaje impactante.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Moderada: la línea entre proactivo y reactivo no siempre es clara.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Trimestral adecuado para el ciclo de reporting.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 independencia. Perspectiva de ventaja relativa respecto al atacante.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registro sistemático del origen de descubrimiento de cada vulnerabilidad. Coste moderado.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Nivel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ALTA — Adoptar; establecer criterios claros de clasificación proactivo/reactivo.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★★★★☆</w:t>
            </w:r>
          </w:p>
        </w:tc>
      </w:tr>
    </w:tbl>
    <w:p/>
    <w:p>
      <w:pPr>
        <w:pStyle w:val="Heading4"/>
        <w:keepNext/>
        <w:keepLines/>
      </w:pPr>
      <w:r>
        <w:t>Disc.M3 — Número de Servicios Innecesarios Expuestos (NSIE)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aplicada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NSIE alto predice mayor superficie de ataque y más vectores de entrada potenciales.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relevante para la higiene de la superficie de ataque y el principio de mínimo privilegio de red.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Cada servicio innecesario detectado = acción inmediata de desactivación o documentación de justificación.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El escáner de puertos mide la realidad objetiva. La clasificación "innecesario" requiere validación.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"Tenemos 15 puertos abiertos en activos críticos que no deberían estar activos" = mensaje claro y urgente.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 precisión para el conteo. La clasificación "innecesario" requiere proceso de validación.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Mensual adecuado. Con automatización puede ser semanal.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Relacionado con Disc.M1 pero más granular y operacional. Cierta redundancia conceptual.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Escáneres de puertos gratuitos (Nmap, Masscan). Coste marginal muy bajo.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Nivel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ALTA — Adoptar; automatizar con escáner ASM continuo o CSPM.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★★★★☆</w:t>
            </w:r>
          </w:p>
        </w:tc>
      </w:tr>
    </w:tbl>
    <w:p/>
    <w:p>
      <w:pPr>
        <w:pStyle w:val="Heading4"/>
        <w:keepNext/>
        <w:keepLines/>
      </w:pPr>
      <w:r>
        <w:t>Disc.M4 — Tiempo Medio de Detección Externa (TMDE)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aplicada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TMDE largo predice ventanas de exposición amplias ante nuevas vulnerabilidades.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Captura el aspecto más relevante de la descubribilidad: tiempo de ventaja del atacante antes de que nos enteremos.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TMDE &gt; 7 días = implementar monitorización ASM continua; suscribirse a alertas tempranas INCIBE-CERT/CVE.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datos de ASM externas y NVD. El dato es objetivamente verificable.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"Tardamos 12 días en darnos cuenta de que éramos visibles con esa vulnerabilidad" = altamente impactante.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 precisión si los timestamps están bien registrados en ASM y SIEM.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Calculable por incidente/evento. Tendencia mensual oportuna.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Relacionado conceptualmente con R.M4 (VEE) pero desde perspectiva externa. Complementario, no redundante.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herramienta ASM con timestamps históricos. Coste moderado pero ROI muy alto.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Nivel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ALTA — Adoptar con herramienta ASM que soporte timestamps históricos.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★★★★☆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RESUMEN: RANKING PRAGMATIC COMPLETO DE LAS 23 MÉTRICAS DREAD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</w:tblGrid>
      <w:tr>
        <w:trPr>
          <w:cantSplit w:val="1"/>
        </w:trPr>
        <w:tc>
          <w:tcPr>
            <w:tcW w:type="dxa" w:w="669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Rk</w:t>
            </w:r>
          </w:p>
        </w:tc>
        <w:tc>
          <w:tcPr>
            <w:tcW w:type="dxa" w:w="669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669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Dim</w:t>
            </w:r>
          </w:p>
        </w:tc>
        <w:tc>
          <w:tcPr>
            <w:tcW w:type="dxa" w:w="669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669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669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669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669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669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669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669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669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669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669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</w:tr>
      <w:tr>
        <w:trPr>
          <w:cantSplit w:val="1"/>
        </w:trPr>
        <w:tc>
          <w:tcPr>
            <w:tcW w:type="dxa" w:w="669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E.M2 — TCKEV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★★★★★ ÉLITE ABSOLUTA</w:t>
            </w:r>
          </w:p>
        </w:tc>
      </w:tr>
      <w:tr>
        <w:trPr>
          <w:cantSplit w:val="1"/>
        </w:trPr>
        <w:tc>
          <w:tcPr>
            <w:tcW w:type="dxa" w:w="669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R.M2 — TVER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★★★★★ ÉLITE MÁXIMA</w:t>
            </w:r>
          </w:p>
        </w:tc>
      </w:tr>
      <w:tr>
        <w:trPr>
          <w:cantSplit w:val="1"/>
        </w:trPr>
        <w:tc>
          <w:tcPr>
            <w:tcW w:type="dxa" w:w="669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Disc.M1 — RSAE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Disc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★★★★★ ÉLITE MÁXIMA</w:t>
            </w:r>
          </w:p>
        </w:tc>
      </w:tr>
      <w:tr>
        <w:trPr>
          <w:cantSplit w:val="1"/>
        </w:trPr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R.M1 — MTTR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★★★★★ ÉLITE</w:t>
            </w:r>
          </w:p>
        </w:tc>
      </w:tr>
      <w:tr>
        <w:trPr>
          <w:cantSplit w:val="1"/>
        </w:trPr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E.M4 — TMCE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★★★★★ ÉLITE</w:t>
            </w:r>
          </w:p>
        </w:tc>
      </w:tr>
      <w:tr>
        <w:trPr>
          <w:cantSplit w:val="1"/>
        </w:trPr>
        <w:tc>
          <w:tcPr>
            <w:tcW w:type="dxa" w:w="669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A.M3 — TMNU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76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★★★★★ ÉLITE</w:t>
            </w:r>
          </w:p>
        </w:tc>
      </w:tr>
      <w:tr>
        <w:trPr>
          <w:cantSplit w:val="1"/>
        </w:trPr>
        <w:tc>
          <w:tcPr>
            <w:tcW w:type="dxa" w:w="669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A.M1 — UMPA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★★★★★ ÉLITE</w:t>
            </w:r>
          </w:p>
        </w:tc>
      </w:tr>
      <w:tr>
        <w:trPr>
          <w:cantSplit w:val="1"/>
        </w:trPr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R.M4 — VEE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★★★★★ ÉLITE</w:t>
            </w:r>
          </w:p>
        </w:tc>
      </w:tr>
      <w:tr>
        <w:trPr>
          <w:cantSplit w:val="1"/>
        </w:trPr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D.M5 — TMCD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73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★★★★★ ÉLITE</w:t>
            </w:r>
          </w:p>
        </w:tc>
      </w:tr>
      <w:tr>
        <w:trPr>
          <w:cantSplit w:val="1"/>
        </w:trPr>
        <w:tc>
          <w:tcPr>
            <w:tcW w:type="dxa" w:w="669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D.M3 — RTO gap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72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★★★★★ ÉLITE</w:t>
            </w:r>
          </w:p>
        </w:tc>
      </w:tr>
      <w:tr>
        <w:trPr>
          <w:cantSplit w:val="1"/>
        </w:trPr>
        <w:tc>
          <w:tcPr>
            <w:tcW w:type="dxa" w:w="669"/>
          </w:tcPr>
          <w:p>
            <w:pPr>
              <w:keepLines w:val="1"/>
              <w:keepNext w:val="1"/>
            </w:pPr>
            <w:r>
              <w:t>11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Disc.M4 — TMDE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Disc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71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★★★★ ALTA</w:t>
            </w:r>
          </w:p>
        </w:tc>
      </w:tr>
      <w:tr>
        <w:trPr>
          <w:cantSplit w:val="1"/>
        </w:trPr>
        <w:tc>
          <w:tcPr>
            <w:tcW w:type="dxa" w:w="669"/>
          </w:tcPr>
          <w:p>
            <w:pPr>
              <w:keepLines w:val="1"/>
              <w:keepNext w:val="1"/>
            </w:pPr>
            <w:r>
              <w:t>12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D.M1 — ALE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70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★★★★ ALTA</w:t>
            </w:r>
          </w:p>
        </w:tc>
      </w:tr>
      <w:tr>
        <w:trPr>
          <w:cantSplit w:val="1"/>
        </w:trPr>
        <w:tc>
          <w:tcPr>
            <w:tcW w:type="dxa" w:w="669"/>
          </w:tcPr>
          <w:p>
            <w:pPr>
              <w:keepLines w:val="1"/>
              <w:keepNext w:val="1"/>
            </w:pPr>
            <w:r>
              <w:t>13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Disc.M3 — NSIE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Disc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70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★★★★ ALTA</w:t>
            </w:r>
          </w:p>
        </w:tc>
      </w:tr>
      <w:tr>
        <w:trPr>
          <w:cantSplit w:val="1"/>
        </w:trPr>
        <w:tc>
          <w:tcPr>
            <w:tcW w:type="dxa" w:w="669"/>
          </w:tcPr>
          <w:p>
            <w:pPr>
              <w:keepLines w:val="1"/>
              <w:keepNext w:val="1"/>
            </w:pPr>
            <w:r>
              <w:t>14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A.M5 — CCUC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67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★★★★ ALTA</w:t>
            </w:r>
          </w:p>
        </w:tc>
      </w:tr>
      <w:tr>
        <w:trPr>
          <w:cantSplit w:val="1"/>
        </w:trPr>
        <w:tc>
          <w:tcPr>
            <w:tcW w:type="dxa" w:w="669"/>
          </w:tcPr>
          <w:p>
            <w:pPr>
              <w:keepLines w:val="1"/>
              <w:keepNext w:val="1"/>
            </w:pPr>
            <w:r>
              <w:t>15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Disc.M2 — RDPR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Disc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67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★★★★ ALTA</w:t>
            </w:r>
          </w:p>
        </w:tc>
      </w:tr>
      <w:tr>
        <w:trPr>
          <w:cantSplit w:val="1"/>
        </w:trPr>
        <w:tc>
          <w:tcPr>
            <w:tcW w:type="dxa" w:w="669"/>
          </w:tcPr>
          <w:p>
            <w:pPr>
              <w:keepLines w:val="1"/>
              <w:keepNext w:val="1"/>
            </w:pPr>
            <w:r>
              <w:t>16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E.M1 — SMEC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66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★★★★ ALTA</w:t>
            </w:r>
          </w:p>
        </w:tc>
      </w:tr>
      <w:tr>
        <w:trPr>
          <w:cantSplit w:val="1"/>
        </w:trPr>
        <w:tc>
          <w:tcPr>
            <w:tcW w:type="dxa" w:w="669"/>
          </w:tcPr>
          <w:p>
            <w:pPr>
              <w:keepLines w:val="1"/>
              <w:keepNext w:val="1"/>
            </w:pPr>
            <w:r>
              <w:t>17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E.M5 — ICCAE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63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★★★★ ALTA</w:t>
            </w:r>
          </w:p>
        </w:tc>
      </w:tr>
      <w:tr>
        <w:trPr>
          <w:cantSplit w:val="1"/>
        </w:trPr>
        <w:tc>
          <w:tcPr>
            <w:tcW w:type="dxa" w:w="669"/>
          </w:tcPr>
          <w:p>
            <w:pPr>
              <w:keepLines w:val="1"/>
              <w:keepNext w:val="1"/>
            </w:pPr>
            <w:r>
              <w:t>18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R.M3 — ICEP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63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★★★★ ALTA</w:t>
            </w:r>
          </w:p>
        </w:tc>
      </w:tr>
      <w:tr>
        <w:trPr>
          <w:cantSplit w:val="1"/>
        </w:trPr>
        <w:tc>
          <w:tcPr>
            <w:tcW w:type="dxa" w:w="669"/>
          </w:tcPr>
          <w:p>
            <w:pPr>
              <w:keepLines w:val="1"/>
              <w:keepNext w:val="1"/>
            </w:pPr>
            <w:r>
              <w:t>19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D.M2 — IEAC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62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★★★☆ MEDIA</w:t>
            </w:r>
          </w:p>
        </w:tc>
      </w:tr>
      <w:tr>
        <w:trPr>
          <w:cantSplit w:val="1"/>
        </w:trPr>
        <w:tc>
          <w:tcPr>
            <w:tcW w:type="dxa" w:w="669"/>
          </w:tcPr>
          <w:p>
            <w:pPr>
              <w:keepLines w:val="1"/>
              <w:keepNext w:val="1"/>
            </w:pPr>
            <w:r>
              <w:t>20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D.M4 — TBNO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62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★★★☆ MEDIA</w:t>
            </w:r>
          </w:p>
        </w:tc>
      </w:tr>
      <w:tr>
        <w:trPr>
          <w:cantSplit w:val="1"/>
        </w:trPr>
        <w:tc>
          <w:tcPr>
            <w:tcW w:type="dxa" w:w="669"/>
          </w:tcPr>
          <w:p>
            <w:pPr>
              <w:keepLines w:val="1"/>
              <w:keepNext w:val="1"/>
            </w:pPr>
            <w:r>
              <w:t>21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E.M3 — DREAD-E LLM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60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★★★☆ MEDIA</w:t>
            </w:r>
          </w:p>
        </w:tc>
      </w:tr>
      <w:tr>
        <w:trPr>
          <w:cantSplit w:val="1"/>
        </w:trPr>
        <w:tc>
          <w:tcPr>
            <w:tcW w:type="dxa" w:w="669"/>
          </w:tcPr>
          <w:p>
            <w:pPr>
              <w:keepLines w:val="1"/>
              <w:keepNext w:val="1"/>
            </w:pPr>
            <w:r>
              <w:t>22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A.M2 — IUVA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58</w:t>
            </w:r>
          </w:p>
        </w:tc>
        <w:tc>
          <w:tcPr>
            <w:tcW w:type="dxa" w:w="669"/>
          </w:tcPr>
          <w:p>
            <w:pPr>
              <w:keepLines w:val="1"/>
              <w:keepNext w:val="1"/>
            </w:pPr>
            <w:r>
              <w:t>★★★☆ MEDIA</w:t>
            </w:r>
          </w:p>
        </w:tc>
      </w:tr>
      <w:tr>
        <w:trPr>
          <w:cantSplit w:val="1"/>
        </w:trPr>
        <w:tc>
          <w:tcPr>
            <w:tcW w:type="dxa" w:w="669"/>
          </w:tcPr>
          <w:p>
            <w:pPr>
              <w:keepLines w:val="1"/>
            </w:pPr>
            <w:r>
              <w:t>23</w:t>
            </w:r>
          </w:p>
        </w:tc>
        <w:tc>
          <w:tcPr>
            <w:tcW w:type="dxa" w:w="669"/>
          </w:tcPr>
          <w:p>
            <w:pPr>
              <w:keepLines w:val="1"/>
            </w:pPr>
            <w:r>
              <w:t>A.M4 — CUA</w:t>
            </w:r>
          </w:p>
        </w:tc>
        <w:tc>
          <w:tcPr>
            <w:tcW w:type="dxa" w:w="669"/>
          </w:tcPr>
          <w:p>
            <w:pPr>
              <w:keepLines w:val="1"/>
            </w:pPr>
            <w:r>
              <w:t>A</w:t>
            </w:r>
          </w:p>
        </w:tc>
        <w:tc>
          <w:tcPr>
            <w:tcW w:type="dxa" w:w="669"/>
          </w:tcPr>
          <w:p>
            <w:pPr>
              <w:keepLines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</w:pPr>
            <w:r>
              <w:t>8</w:t>
            </w:r>
          </w:p>
        </w:tc>
        <w:tc>
          <w:tcPr>
            <w:tcW w:type="dxa" w:w="669"/>
          </w:tcPr>
          <w:p>
            <w:pPr>
              <w:keepLines w:val="1"/>
            </w:pPr>
            <w:r>
              <w:t>7</w:t>
            </w:r>
          </w:p>
        </w:tc>
        <w:tc>
          <w:tcPr>
            <w:tcW w:type="dxa" w:w="669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</w:pPr>
            <w:r>
              <w:t>9</w:t>
            </w:r>
          </w:p>
        </w:tc>
        <w:tc>
          <w:tcPr>
            <w:tcW w:type="dxa" w:w="669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</w:pPr>
            <w:r>
              <w:t>6</w:t>
            </w:r>
          </w:p>
        </w:tc>
        <w:tc>
          <w:tcPr>
            <w:tcW w:type="dxa" w:w="669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669"/>
          </w:tcPr>
          <w:p>
            <w:pPr>
              <w:keepLines w:val="1"/>
            </w:pPr>
            <w:r>
              <w:t>57</w:t>
            </w:r>
          </w:p>
        </w:tc>
        <w:tc>
          <w:tcPr>
            <w:tcW w:type="dxa" w:w="669"/>
          </w:tcPr>
          <w:p>
            <w:pPr>
              <w:keepLines w:val="1"/>
            </w:pPr>
            <w:r>
              <w:t>★★★☆ MEDIA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ANÁLISIS DE PATRONES PRAGMATIC EN EL SET DREAD</w:t>
      </w:r>
    </w:p>
    <w:p>
      <w:pPr>
        <w:pStyle w:val="Heading3"/>
        <w:keepNext/>
        <w:keepLines/>
      </w:pPr>
      <w:r>
        <w:t>Patrón 1: La Genuinidad (G) es el talón de Aquiles sistémico</w:t>
      </w:r>
    </w:p>
    <w:p>
      <w:r>
        <w:t xml:space="preserve">Las métricas que puntúan más bajo en G comparten una causa raíz: dependencia de inventarios de activos incompletos (CMDB) o de estimaciones subjetivas. </w:t>
      </w:r>
      <w:r>
        <w:rPr>
          <w:b/>
        </w:rPr>
        <w:t>Recomendación sistémica:</w:t>
      </w:r>
      <w:r>
        <w:t xml:space="preserve"> Invertir en automatización (CSPM, VM automatizado, ASM, SIEM) para elevar el criterio G en todo el set de forma transversal.</w:t>
      </w:r>
    </w:p>
    <w:p>
      <w:pPr>
        <w:pStyle w:val="Heading3"/>
        <w:keepNext/>
        <w:keepLines/>
      </w:pPr>
      <w:r>
        <w:t>Patrón 2: Las métricas en tiempo real dominan el ranking</w:t>
      </w:r>
    </w:p>
    <w:p>
      <w:r>
        <w:t>Las 10 métricas de mayor puntuación PRAGMATIC son calculables de forma automática o semi-automática desde sistemas ya desplegados (SIEM, VM tool, ITSM, API pública). Los criterios T (Oportuno) y C (Rentable) son los mejor valorados consistentemente.</w:t>
      </w:r>
    </w:p>
    <w:p>
      <w:pPr>
        <w:pStyle w:val="Heading3"/>
        <w:keepNext/>
        <w:keepLines/>
      </w:pPr>
      <w:r>
        <w:t>Patrón 3: CISA KEV demuestra el poder de las fuentes autoritativas externas</w:t>
      </w:r>
    </w:p>
    <w:p>
      <w:r>
        <w:t>E.M2 (TCKEV) obtiene la puntuación absoluta más alta (85/90) porque combina máxima relevancia operativa con máxima autoridad de la fuente (gobierno USA) y coste prácticamente nulo. Es el ejemplo perfecto del criterio PRAGMATIC en acción.</w:t>
      </w:r>
    </w:p>
    <w:p>
      <w:pPr>
        <w:pStyle w:val="Heading3"/>
        <w:keepNext/>
        <w:keepLines/>
      </w:pPr>
      <w:r>
        <w:t>Patrón 4: La dimensión A (Usuarios Afectados) tiene la mayor varianza interna</w:t>
      </w:r>
    </w:p>
    <w:p>
      <w:r>
        <w:t xml:space="preserve">UMPA (75) y TMNU (76) son de élite, mientras que IUVA (58) y CUA (57) son de calidad media. Esto refleja que medir la </w:t>
      </w:r>
      <w:r>
        <w:rPr>
          <w:b/>
        </w:rPr>
        <w:t>escala</w:t>
      </w:r>
      <w:r>
        <w:t xml:space="preserve"> de usuarios es simple (dato del CRM), pero medir la </w:t>
      </w:r>
      <w:r>
        <w:rPr>
          <w:b/>
        </w:rPr>
        <w:t>calidad</w:t>
      </w:r>
      <w:r>
        <w:t xml:space="preserve"> del impacto por tipo de usuario es significativamente más complejo y costoso.</w:t>
      </w:r>
    </w:p>
    <w:p>
      <w:pPr>
        <w:pStyle w:val="Heading3"/>
        <w:keepNext/>
        <w:keepLines/>
      </w:pPr>
      <w:r>
        <w:t>Recomendación de implementación por prioridad</w:t>
      </w:r>
    </w:p>
    <w:p>
      <w:r>
        <w:rPr>
          <w:b/>
        </w:rPr>
        <w:t>Fase 1 — Coste casi nulo (implementar en &lt; 30 días):</w:t>
      </w:r>
      <w:r/>
      <w:r>
        <w:br/>
        <w:t>E.M2 (TCKEV), D.M5 (TMCD), R.M2 (TVER), A.M3 (TMNU), E.M4 (TMCE), R.M1 (MTTR)</w:t>
      </w:r>
    </w:p>
    <w:p>
      <w:r>
        <w:rPr>
          <w:b/>
        </w:rPr>
        <w:t>Fase 2 — Inversión moderada (implementar en 3–6 meses):</w:t>
      </w:r>
      <w:r/>
      <w:r>
        <w:br/>
        <w:t>Disc.M1 (RSAE), R.M4 (VEE), A.M1 (UMPA), D.M3 (RTO gap), Disc.M4 (TMDE)</w:t>
      </w:r>
    </w:p>
    <w:p>
      <w:r>
        <w:rPr>
          <w:b/>
        </w:rPr>
        <w:t>Fase 3 — Inversión estratégica (implementar en 6–12 meses):</w:t>
      </w:r>
      <w:r/>
      <w:r>
        <w:br/>
        <w:t>D.M1 (ALE con FAIR), D.M2 (IEAC con CMDB actualizado), E.M3 (DREAD-E LLM)</w:t>
      </w:r>
    </w:p>
    <w:p>
      <w:r>
        <w:rPr>
          <w:i/>
        </w:rPr>
        <w:t>Matriz PRAGMATIC · Documento B del Kit GQM+PRAGMATIC DREAD · Abril 2026</w:t>
      </w:r>
      <w:r/>
      <w:r>
        <w:br/>
      </w:r>
      <w:r>
        <w:rPr>
          <w:i/>
        </w:rPr>
        <w:t>Basado en: Brotby &amp; Hinson (2013), securitymetametrics.com, INCIBE-IMC, FIRST EPSS, CISA KEV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