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MAPEO NORMATIVO DETALLADO</w:t>
      </w:r>
    </w:p>
    <w:p>
      <w:pPr>
        <w:pStyle w:val="Heading2"/>
        <w:keepNext/>
        <w:keepLines/>
      </w:pPr>
      <w:r>
        <w:rPr>
          <w:color w:val="0066CC"/>
        </w:rPr>
        <w:t>Cada Métrica GQM-DREAD mapeada a Requisitos Normativos Aplicables</w:t>
      </w:r>
    </w:p>
    <w:p>
      <w:pPr>
        <w:pStyle w:val="Heading3"/>
        <w:keepNext/>
        <w:keepLines/>
      </w:pPr>
      <w:r>
        <w:t>España 2025–2026 · NIS2 · ENS · DORA · GDPR · ISO 27001 · NIST CSF · CRA · IEC 62443 · MAGERIT</w:t>
      </w:r>
    </w:p>
    <w:p>
      <w:r>
        <w:rPr>
          <w:i/>
        </w:rPr>
        <w:t>"La regulación sin métricas es declaración de buenas intenciones. Las métricas sin regulación son datos huérfanos. El mapeo normativo es el acto de casamentero que los une... con todas sus consecuencias."</w:t>
      </w:r>
    </w:p>
    <w:p>
      <w:pPr>
        <w:pStyle w:val="Heading2"/>
        <w:keepNext/>
        <w:keepLines/>
      </w:pPr>
      <w:r>
        <w:rPr>
          <w:color w:val="0066CC"/>
        </w:rPr>
        <w:t>GUÍA DE LECTURA</w:t>
      </w:r>
    </w:p>
    <w:p>
      <w:r>
        <w:t xml:space="preserve">La tabla siguiente mapea cada una de las </w:t>
      </w:r>
      <w:r>
        <w:rPr>
          <w:b/>
        </w:rPr>
        <w:t>23 métricas del Kit GQM-DREAD</w:t>
      </w:r>
      <w:r>
        <w:t xml:space="preserve"> a los requisitos específicos de los marcos normativos más relevantes para España en 2025-2026:</w:t>
      </w:r>
    </w:p>
    <w:p>
      <w:pPr>
        <w:pStyle w:val="ListBullet"/>
        <w:keepLines w:val="1"/>
        <w:keepNext w:val="1"/>
        <w:widowControl w:val="1"/>
      </w:pPr>
      <w:r>
        <w:t>NIS2: Directiva (UE) 2022/2555 (transpuesta mediante LCGC-2025)</w:t>
      </w:r>
    </w:p>
    <w:p>
      <w:pPr>
        <w:pStyle w:val="ListBullet"/>
        <w:keepLines w:val="1"/>
        <w:keepNext w:val="1"/>
        <w:widowControl w:val="1"/>
      </w:pPr>
      <w:r>
        <w:t>ENS: Esquema Nacional de Seguridad (RD 311/2022)</w:t>
      </w:r>
    </w:p>
    <w:p>
      <w:pPr>
        <w:pStyle w:val="ListBullet"/>
        <w:keepLines w:val="1"/>
        <w:keepNext w:val="1"/>
        <w:widowControl w:val="1"/>
      </w:pPr>
      <w:r>
        <w:t>DORA: Reglamento (UE) 2022/2554 (en vigor desde enero 2025)</w:t>
      </w:r>
    </w:p>
    <w:p>
      <w:pPr>
        <w:pStyle w:val="ListBullet"/>
        <w:keepLines w:val="1"/>
        <w:keepNext w:val="1"/>
        <w:widowControl w:val="1"/>
      </w:pPr>
      <w:r>
        <w:t>GDPR: Reglamento (UE) 2016/679 + LOPDGDD</w:t>
      </w:r>
    </w:p>
    <w:p>
      <w:pPr>
        <w:pStyle w:val="ListBullet"/>
        <w:keepLines w:val="1"/>
        <w:keepNext w:val="1"/>
        <w:widowControl w:val="1"/>
      </w:pPr>
      <w:r>
        <w:t>ISO 27001:2022: Norma internacional de SGSI</w:t>
      </w:r>
    </w:p>
    <w:p>
      <w:pPr>
        <w:pStyle w:val="ListBullet"/>
        <w:keepLines w:val="1"/>
        <w:keepNext w:val="1"/>
        <w:widowControl w:val="1"/>
      </w:pPr>
      <w:r>
        <w:t>NIST CSF 2.0: Marco del NIST para la mejora de la ciberseguridad</w:t>
      </w:r>
    </w:p>
    <w:p>
      <w:pPr>
        <w:pStyle w:val="ListBullet"/>
        <w:keepLines w:val="1"/>
        <w:keepNext w:val="1"/>
        <w:widowControl w:val="1"/>
      </w:pPr>
      <w:r>
        <w:t>CRA: Reglamento de Ciberresiliencia (UE) 2024/2847</w:t>
      </w:r>
    </w:p>
    <w:p>
      <w:pPr>
        <w:pStyle w:val="ListBullet"/>
        <w:keepLines w:val="1"/>
        <w:keepNext w:val="1"/>
        <w:widowControl w:val="1"/>
      </w:pPr>
      <w:r>
        <w:t>IEC 62443: Estándar de seguridad para sistemas de control industrial</w:t>
      </w:r>
    </w:p>
    <w:p>
      <w:pPr>
        <w:pStyle w:val="ListBullet"/>
        <w:keepLines w:val="1"/>
        <w:keepNext w:val="1"/>
        <w:widowControl w:val="1"/>
      </w:pPr>
      <w:r>
        <w:t>MAGERIT v3: Metodología de Análisis y Gestión de Riesgos de las AAPP españolas</w:t>
      </w:r>
    </w:p>
    <w:p>
      <w:pPr>
        <w:pStyle w:val="ListBullet"/>
        <w:keepLines w:val="1"/>
        <w:widowControl w:val="1"/>
      </w:pPr>
      <w:r>
        <w:t>INCIBE-IMC: Marco de Indicadores de Ciberresiliencia (INCIBE)</w:t>
      </w:r>
    </w:p>
    <w:p>
      <w:r>
        <w:rPr>
          <w:b/>
        </w:rPr>
        <w:t>Columnas de la tabla:</w:t>
      </w:r>
      <w:r/>
      <w:r>
        <w:br/>
        <w:t xml:space="preserve">- </w:t>
      </w:r>
      <w:r>
        <w:rPr>
          <w:b/>
        </w:rPr>
        <w:t>Obligatorio</w:t>
      </w:r>
      <w:r>
        <w:t>: La métrica es necesaria para demostrar cumplimiento del requisito normativo</w:t>
      </w:r>
      <w:r/>
      <w:r>
        <w:br/>
        <w:t xml:space="preserve">- </w:t>
      </w:r>
      <w:r>
        <w:rPr>
          <w:b/>
        </w:rPr>
        <w:t>Recomendado</w:t>
      </w:r>
      <w:r>
        <w:t>: La métrica es la mejor práctica para el cumplimiento, aunque no explícitamente requerida</w:t>
      </w:r>
      <w:r/>
      <w:r>
        <w:br/>
        <w:t xml:space="preserve">- </w:t>
      </w:r>
      <w:r>
        <w:rPr>
          <w:b/>
        </w:rPr>
        <w:t>Evidencia</w:t>
      </w:r>
      <w:r>
        <w:t>: Qué aporta la métrica como evidencia de auditoría</w:t>
      </w:r>
    </w:p>
    <w:p>
      <w:pPr>
        <w:pStyle w:val="Heading2"/>
        <w:keepNext/>
        <w:keepLines/>
      </w:pPr>
      <w:r>
        <w:rPr>
          <w:color w:val="0066CC"/>
        </w:rPr>
        <w:t>TABLA MAESTRA DE MAPEO NORMATIVO</w:t>
      </w:r>
    </w:p>
    <w:p>
      <w:pPr>
        <w:pStyle w:val="Heading3"/>
        <w:keepNext/>
        <w:keepLines/>
      </w:pPr>
      <w:r>
        <w:t>DIMENSIÓN D — DAÑO</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rPr>
          <w:cantSplit w:val="1"/>
        </w:trPr>
        <w:tc>
          <w:tcPr>
            <w:tcW w:type="dxa" w:w="720"/>
            <w:shd w:fill="0033CC"/>
          </w:tcPr>
          <w:p>
            <w:pPr>
              <w:keepLines w:val="1"/>
              <w:keepNext w:val="1"/>
            </w:pPr>
            <w:r>
              <w:rPr>
                <w:b/>
                <w:color w:val="FFFFFF"/>
              </w:rPr>
              <w:t>ID Métrica</w:t>
            </w:r>
          </w:p>
        </w:tc>
        <w:tc>
          <w:tcPr>
            <w:tcW w:type="dxa" w:w="720"/>
            <w:shd w:fill="0033CC"/>
          </w:tcPr>
          <w:p>
            <w:pPr>
              <w:keepLines w:val="1"/>
              <w:keepNext w:val="1"/>
            </w:pPr>
            <w:r>
              <w:rPr>
                <w:b/>
                <w:color w:val="FFFFFF"/>
              </w:rPr>
              <w:t>Nombre</w:t>
            </w:r>
          </w:p>
        </w:tc>
        <w:tc>
          <w:tcPr>
            <w:tcW w:type="dxa" w:w="720"/>
            <w:shd w:fill="0033CC"/>
          </w:tcPr>
          <w:p>
            <w:pPr>
              <w:keepLines w:val="1"/>
              <w:keepNext w:val="1"/>
            </w:pPr>
            <w:r>
              <w:rPr>
                <w:b/>
                <w:color w:val="FFFFFF"/>
              </w:rPr>
              <w:t>NIS2</w:t>
            </w:r>
          </w:p>
        </w:tc>
        <w:tc>
          <w:tcPr>
            <w:tcW w:type="dxa" w:w="720"/>
            <w:shd w:fill="0033CC"/>
          </w:tcPr>
          <w:p>
            <w:pPr>
              <w:keepLines w:val="1"/>
              <w:keepNext w:val="1"/>
            </w:pPr>
            <w:r>
              <w:rPr>
                <w:b/>
                <w:color w:val="FFFFFF"/>
              </w:rPr>
              <w:t>ENS</w:t>
            </w:r>
          </w:p>
        </w:tc>
        <w:tc>
          <w:tcPr>
            <w:tcW w:type="dxa" w:w="720"/>
            <w:shd w:fill="0033CC"/>
          </w:tcPr>
          <w:p>
            <w:pPr>
              <w:keepLines w:val="1"/>
              <w:keepNext w:val="1"/>
            </w:pPr>
            <w:r>
              <w:rPr>
                <w:b/>
                <w:color w:val="FFFFFF"/>
              </w:rPr>
              <w:t>DORA</w:t>
            </w:r>
          </w:p>
        </w:tc>
        <w:tc>
          <w:tcPr>
            <w:tcW w:type="dxa" w:w="720"/>
            <w:shd w:fill="0033CC"/>
          </w:tcPr>
          <w:p>
            <w:pPr>
              <w:keepLines w:val="1"/>
              <w:keepNext w:val="1"/>
            </w:pPr>
            <w:r>
              <w:rPr>
                <w:b/>
                <w:color w:val="FFFFFF"/>
              </w:rPr>
              <w:t>GDPR</w:t>
            </w:r>
          </w:p>
        </w:tc>
        <w:tc>
          <w:tcPr>
            <w:tcW w:type="dxa" w:w="720"/>
            <w:shd w:fill="0033CC"/>
          </w:tcPr>
          <w:p>
            <w:pPr>
              <w:keepLines w:val="1"/>
              <w:keepNext w:val="1"/>
            </w:pPr>
            <w:r>
              <w:rPr>
                <w:b/>
                <w:color w:val="FFFFFF"/>
              </w:rPr>
              <w:t>ISO 27001:2022</w:t>
            </w:r>
          </w:p>
        </w:tc>
        <w:tc>
          <w:tcPr>
            <w:tcW w:type="dxa" w:w="720"/>
            <w:shd w:fill="0033CC"/>
          </w:tcPr>
          <w:p>
            <w:pPr>
              <w:keepLines w:val="1"/>
              <w:keepNext w:val="1"/>
            </w:pPr>
            <w:r>
              <w:rPr>
                <w:b/>
                <w:color w:val="FFFFFF"/>
              </w:rPr>
              <w:t>NIST CSF 2.0</w:t>
            </w:r>
          </w:p>
        </w:tc>
        <w:tc>
          <w:tcPr>
            <w:tcW w:type="dxa" w:w="720"/>
            <w:shd w:fill="0033CC"/>
          </w:tcPr>
          <w:p>
            <w:pPr>
              <w:keepLines w:val="1"/>
              <w:keepNext w:val="1"/>
            </w:pPr>
            <w:r>
              <w:rPr>
                <w:b/>
                <w:color w:val="FFFFFF"/>
              </w:rPr>
              <w:t>CRA</w:t>
            </w:r>
          </w:p>
        </w:tc>
        <w:tc>
          <w:tcPr>
            <w:tcW w:type="dxa" w:w="720"/>
            <w:shd w:fill="0033CC"/>
          </w:tcPr>
          <w:p>
            <w:pPr>
              <w:keepLines w:val="1"/>
              <w:keepNext w:val="1"/>
            </w:pPr>
            <w:r>
              <w:rPr>
                <w:b/>
                <w:color w:val="FFFFFF"/>
              </w:rPr>
              <w:t>MAGERIT v3</w:t>
            </w:r>
          </w:p>
        </w:tc>
        <w:tc>
          <w:tcPr>
            <w:tcW w:type="dxa" w:w="720"/>
            <w:shd w:fill="0033CC"/>
          </w:tcPr>
          <w:p>
            <w:pPr>
              <w:keepLines w:val="1"/>
              <w:keepNext w:val="1"/>
            </w:pPr>
            <w:r>
              <w:rPr>
                <w:b/>
                <w:color w:val="FFFFFF"/>
              </w:rPr>
              <w:t>INCIBE-IMC</w:t>
            </w:r>
          </w:p>
        </w:tc>
        <w:tc>
          <w:tcPr>
            <w:tcW w:type="dxa" w:w="720"/>
            <w:shd w:fill="0033CC"/>
          </w:tcPr>
          <w:p>
            <w:pPr>
              <w:keepLines w:val="1"/>
              <w:keepNext w:val="1"/>
            </w:pPr>
            <w:r>
              <w:rPr>
                <w:b/>
                <w:color w:val="FFFFFF"/>
              </w:rPr>
              <w:t>Tipo Req.</w:t>
            </w:r>
          </w:p>
        </w:tc>
        <w:tc>
          <w:tcPr>
            <w:tcW w:type="dxa" w:w="720"/>
            <w:shd w:fill="0033CC"/>
          </w:tcPr>
          <w:p>
            <w:pPr>
              <w:keepLines w:val="1"/>
              <w:keepNext w:val="1"/>
            </w:pPr>
            <w:r>
              <w:rPr>
                <w:b/>
                <w:color w:val="FFFFFF"/>
              </w:rPr>
              <w:t>Evidencia de auditoría</w:t>
            </w:r>
          </w:p>
        </w:tc>
      </w:tr>
      <w:tr>
        <w:trPr>
          <w:cantSplit w:val="1"/>
        </w:trPr>
        <w:tc>
          <w:tcPr>
            <w:tcW w:type="dxa" w:w="720"/>
          </w:tcPr>
          <w:p>
            <w:pPr>
              <w:keepLines w:val="1"/>
              <w:keepNext w:val="1"/>
            </w:pPr>
            <w:r>
              <w:t>D.M1</w:t>
            </w:r>
          </w:p>
        </w:tc>
        <w:tc>
          <w:tcPr>
            <w:tcW w:type="dxa" w:w="720"/>
          </w:tcPr>
          <w:p>
            <w:pPr>
              <w:keepLines w:val="1"/>
              <w:keepNext w:val="1"/>
            </w:pPr>
            <w:r>
              <w:t>ALE por amenaza crítica</w:t>
            </w:r>
          </w:p>
        </w:tc>
        <w:tc>
          <w:tcPr>
            <w:tcW w:type="dxa" w:w="720"/>
          </w:tcPr>
          <w:p>
            <w:pPr>
              <w:keepLines w:val="1"/>
              <w:keepNext w:val="1"/>
            </w:pPr>
            <w:r>
              <w:t>Art.21.2.a (gestión de riesgos)</w:t>
            </w:r>
          </w:p>
        </w:tc>
        <w:tc>
          <w:tcPr>
            <w:tcW w:type="dxa" w:w="720"/>
          </w:tcPr>
          <w:p>
            <w:pPr>
              <w:keepLines w:val="1"/>
              <w:keepNext w:val="1"/>
            </w:pPr>
            <w:r>
              <w:t>Anexo II Med.2 (análisis de riesgos)</w:t>
            </w:r>
          </w:p>
        </w:tc>
        <w:tc>
          <w:tcPr>
            <w:tcW w:type="dxa" w:w="720"/>
          </w:tcPr>
          <w:p>
            <w:pPr>
              <w:keepLines w:val="1"/>
              <w:keepNext w:val="1"/>
            </w:pPr>
            <w:r>
              <w:t>Art.6.a (gestión del riesgo TIC)</w:t>
            </w:r>
          </w:p>
        </w:tc>
        <w:tc>
          <w:tcPr>
            <w:tcW w:type="dxa" w:w="720"/>
          </w:tcPr>
          <w:p>
            <w:pPr>
              <w:keepLines w:val="1"/>
              <w:keepNext w:val="1"/>
            </w:pPr>
            <w:r>
              <w:t>—</w:t>
            </w:r>
          </w:p>
        </w:tc>
        <w:tc>
          <w:tcPr>
            <w:tcW w:type="dxa" w:w="720"/>
          </w:tcPr>
          <w:p>
            <w:pPr>
              <w:keepLines w:val="1"/>
              <w:keepNext w:val="1"/>
            </w:pPr>
            <w:r>
              <w:t>A.6.1.2 (tratamiento del riesgo)</w:t>
            </w:r>
          </w:p>
        </w:tc>
        <w:tc>
          <w:tcPr>
            <w:tcW w:type="dxa" w:w="720"/>
          </w:tcPr>
          <w:p>
            <w:pPr>
              <w:keepLines w:val="1"/>
              <w:keepNext w:val="1"/>
            </w:pPr>
            <w:r>
              <w:t>GV.RM (Govern.Risk Mgmt)</w:t>
            </w:r>
          </w:p>
        </w:tc>
        <w:tc>
          <w:tcPr>
            <w:tcW w:type="dxa" w:w="720"/>
          </w:tcPr>
          <w:p>
            <w:pPr>
              <w:keepLines w:val="1"/>
              <w:keepNext w:val="1"/>
            </w:pPr>
            <w:r>
              <w:t>Art.13.2</w:t>
            </w:r>
          </w:p>
        </w:tc>
        <w:tc>
          <w:tcPr>
            <w:tcW w:type="dxa" w:w="720"/>
          </w:tcPr>
          <w:p>
            <w:pPr>
              <w:keepLines w:val="1"/>
              <w:keepNext w:val="1"/>
            </w:pPr>
            <w:r>
              <w:t>Fase 3 (evaluación)</w:t>
            </w:r>
          </w:p>
        </w:tc>
        <w:tc>
          <w:tcPr>
            <w:tcW w:type="dxa" w:w="720"/>
          </w:tcPr>
          <w:p>
            <w:pPr>
              <w:keepLines w:val="1"/>
              <w:keepNext w:val="1"/>
            </w:pPr>
            <w:r>
              <w:t>IMC-R1</w:t>
            </w:r>
          </w:p>
        </w:tc>
        <w:tc>
          <w:tcPr>
            <w:tcW w:type="dxa" w:w="720"/>
          </w:tcPr>
          <w:p>
            <w:pPr>
              <w:keepLines w:val="1"/>
              <w:keepNext w:val="1"/>
            </w:pPr>
            <w:r>
              <w:t>Obligatorio (NIS2/DORA)</w:t>
            </w:r>
          </w:p>
        </w:tc>
        <w:tc>
          <w:tcPr>
            <w:tcW w:type="dxa" w:w="720"/>
          </w:tcPr>
          <w:p>
            <w:pPr>
              <w:keepLines w:val="1"/>
              <w:keepNext w:val="1"/>
            </w:pPr>
            <w:r>
              <w:t>Registro de análisis de riesgos con valoración económica, aprobado por el órgano de dirección</w:t>
            </w:r>
          </w:p>
        </w:tc>
      </w:tr>
      <w:tr>
        <w:trPr>
          <w:cantSplit w:val="1"/>
        </w:trPr>
        <w:tc>
          <w:tcPr>
            <w:tcW w:type="dxa" w:w="720"/>
          </w:tcPr>
          <w:p>
            <w:pPr>
              <w:keepLines w:val="1"/>
              <w:keepNext w:val="1"/>
            </w:pPr>
            <w:r>
              <w:t>D.M2</w:t>
            </w:r>
          </w:p>
        </w:tc>
        <w:tc>
          <w:tcPr>
            <w:tcW w:type="dxa" w:w="720"/>
          </w:tcPr>
          <w:p>
            <w:pPr>
              <w:keepLines w:val="1"/>
              <w:keepNext w:val="1"/>
            </w:pPr>
            <w:r>
              <w:t>IEAC</w:t>
            </w:r>
          </w:p>
        </w:tc>
        <w:tc>
          <w:tcPr>
            <w:tcW w:type="dxa" w:w="720"/>
          </w:tcPr>
          <w:p>
            <w:pPr>
              <w:keepLines w:val="1"/>
              <w:keepNext w:val="1"/>
            </w:pPr>
            <w:r>
              <w:t>Art.21.2.f (seguridad de activos)</w:t>
            </w:r>
          </w:p>
        </w:tc>
        <w:tc>
          <w:tcPr>
            <w:tcW w:type="dxa" w:w="720"/>
          </w:tcPr>
          <w:p>
            <w:pPr>
              <w:keepLines w:val="1"/>
              <w:keepNext w:val="1"/>
            </w:pPr>
            <w:r>
              <w:t>Org.1 (inventario activos)</w:t>
            </w:r>
          </w:p>
        </w:tc>
        <w:tc>
          <w:tcPr>
            <w:tcW w:type="dxa" w:w="720"/>
          </w:tcPr>
          <w:p>
            <w:pPr>
              <w:keepLines w:val="1"/>
              <w:keepNext w:val="1"/>
            </w:pPr>
            <w:r>
              <w:t>Art.8.b (mapeo activos críticos)</w:t>
            </w:r>
          </w:p>
        </w:tc>
        <w:tc>
          <w:tcPr>
            <w:tcW w:type="dxa" w:w="720"/>
          </w:tcPr>
          <w:p>
            <w:pPr>
              <w:keepLines w:val="1"/>
              <w:keepNext w:val="1"/>
            </w:pPr>
            <w:r>
              <w:t>—</w:t>
            </w:r>
          </w:p>
        </w:tc>
        <w:tc>
          <w:tcPr>
            <w:tcW w:type="dxa" w:w="720"/>
          </w:tcPr>
          <w:p>
            <w:pPr>
              <w:keepLines w:val="1"/>
              <w:keepNext w:val="1"/>
            </w:pPr>
            <w:r>
              <w:t>A.8.1.1 (inventario activos)</w:t>
            </w:r>
          </w:p>
        </w:tc>
        <w:tc>
          <w:tcPr>
            <w:tcW w:type="dxa" w:w="720"/>
          </w:tcPr>
          <w:p>
            <w:pPr>
              <w:keepLines w:val="1"/>
              <w:keepNext w:val="1"/>
            </w:pPr>
            <w:r>
              <w:t>ID.AM (Identify.Asset Mgmt)</w:t>
            </w:r>
          </w:p>
        </w:tc>
        <w:tc>
          <w:tcPr>
            <w:tcW w:type="dxa" w:w="720"/>
          </w:tcPr>
          <w:p>
            <w:pPr>
              <w:keepLines w:val="1"/>
              <w:keepNext w:val="1"/>
            </w:pPr>
            <w:r>
              <w:t>Art.13.3</w:t>
            </w:r>
          </w:p>
        </w:tc>
        <w:tc>
          <w:tcPr>
            <w:tcW w:type="dxa" w:w="720"/>
          </w:tcPr>
          <w:p>
            <w:pPr>
              <w:keepLines w:val="1"/>
              <w:keepNext w:val="1"/>
            </w:pPr>
            <w:r>
              <w:t>Fase 2 (inventario)</w:t>
            </w:r>
          </w:p>
        </w:tc>
        <w:tc>
          <w:tcPr>
            <w:tcW w:type="dxa" w:w="720"/>
          </w:tcPr>
          <w:p>
            <w:pPr>
              <w:keepLines w:val="1"/>
              <w:keepNext w:val="1"/>
            </w:pPr>
            <w:r>
              <w:t>IMC-R2</w:t>
            </w:r>
          </w:p>
        </w:tc>
        <w:tc>
          <w:tcPr>
            <w:tcW w:type="dxa" w:w="720"/>
          </w:tcPr>
          <w:p>
            <w:pPr>
              <w:keepLines w:val="1"/>
              <w:keepNext w:val="1"/>
            </w:pPr>
            <w:r>
              <w:t>Obligatorio (NIS2/ENS)</w:t>
            </w:r>
          </w:p>
        </w:tc>
        <w:tc>
          <w:tcPr>
            <w:tcW w:type="dxa" w:w="720"/>
          </w:tcPr>
          <w:p>
            <w:pPr>
              <w:keepLines w:val="1"/>
              <w:keepNext w:val="1"/>
            </w:pPr>
            <w:r>
              <w:t>Inventario de activos clasificados por criticidad con porcentaje de exposición documentado</w:t>
            </w:r>
          </w:p>
        </w:tc>
      </w:tr>
      <w:tr>
        <w:trPr>
          <w:cantSplit w:val="1"/>
        </w:trPr>
        <w:tc>
          <w:tcPr>
            <w:tcW w:type="dxa" w:w="720"/>
          </w:tcPr>
          <w:p>
            <w:pPr>
              <w:keepLines w:val="1"/>
              <w:keepNext w:val="1"/>
            </w:pPr>
            <w:r>
              <w:t>D.M3</w:t>
            </w:r>
          </w:p>
        </w:tc>
        <w:tc>
          <w:tcPr>
            <w:tcW w:type="dxa" w:w="720"/>
          </w:tcPr>
          <w:p>
            <w:pPr>
              <w:keepLines w:val="1"/>
              <w:keepNext w:val="1"/>
            </w:pPr>
            <w:r>
              <w:t>RTO gap</w:t>
            </w:r>
          </w:p>
        </w:tc>
        <w:tc>
          <w:tcPr>
            <w:tcW w:type="dxa" w:w="720"/>
          </w:tcPr>
          <w:p>
            <w:pPr>
              <w:keepLines w:val="1"/>
              <w:keepNext w:val="1"/>
            </w:pPr>
            <w:r>
              <w:t>Art.21.2.c (continuidad del negocio)</w:t>
            </w:r>
          </w:p>
        </w:tc>
        <w:tc>
          <w:tcPr>
            <w:tcW w:type="dxa" w:w="720"/>
          </w:tcPr>
          <w:p>
            <w:pPr>
              <w:keepLines w:val="1"/>
              <w:keepNext w:val="1"/>
            </w:pPr>
            <w:r>
              <w:t>Op.cont.1 (continuidad)</w:t>
            </w:r>
          </w:p>
        </w:tc>
        <w:tc>
          <w:tcPr>
            <w:tcW w:type="dxa" w:w="720"/>
          </w:tcPr>
          <w:p>
            <w:pPr>
              <w:keepLines w:val="1"/>
              <w:keepNext w:val="1"/>
            </w:pPr>
            <w:r>
              <w:t>Art.11.a (continuidad TIC)</w:t>
            </w:r>
          </w:p>
        </w:tc>
        <w:tc>
          <w:tcPr>
            <w:tcW w:type="dxa" w:w="720"/>
          </w:tcPr>
          <w:p>
            <w:pPr>
              <w:keepLines w:val="1"/>
              <w:keepNext w:val="1"/>
            </w:pPr>
            <w:r>
              <w:t>—</w:t>
            </w:r>
          </w:p>
        </w:tc>
        <w:tc>
          <w:tcPr>
            <w:tcW w:type="dxa" w:w="720"/>
          </w:tcPr>
          <w:p>
            <w:pPr>
              <w:keepLines w:val="1"/>
              <w:keepNext w:val="1"/>
            </w:pPr>
            <w:r>
              <w:t>A.17.1 (planificación continuidad)</w:t>
            </w:r>
          </w:p>
        </w:tc>
        <w:tc>
          <w:tcPr>
            <w:tcW w:type="dxa" w:w="720"/>
          </w:tcPr>
          <w:p>
            <w:pPr>
              <w:keepLines w:val="1"/>
              <w:keepNext w:val="1"/>
            </w:pPr>
            <w:r>
              <w:t>RC.RP (Recover.Recovery Plan)</w:t>
            </w:r>
          </w:p>
        </w:tc>
        <w:tc>
          <w:tcPr>
            <w:tcW w:type="dxa" w:w="720"/>
          </w:tcPr>
          <w:p>
            <w:pPr>
              <w:keepLines w:val="1"/>
              <w:keepNext w:val="1"/>
            </w:pPr>
            <w:r>
              <w:t>—</w:t>
            </w:r>
          </w:p>
        </w:tc>
        <w:tc>
          <w:tcPr>
            <w:tcW w:type="dxa" w:w="720"/>
          </w:tcPr>
          <w:p>
            <w:pPr>
              <w:keepLines w:val="1"/>
              <w:keepNext w:val="1"/>
            </w:pPr>
            <w:r>
              <w:t>Plan de Continuidad</w:t>
            </w:r>
          </w:p>
        </w:tc>
        <w:tc>
          <w:tcPr>
            <w:tcW w:type="dxa" w:w="720"/>
          </w:tcPr>
          <w:p>
            <w:pPr>
              <w:keepLines w:val="1"/>
              <w:keepNext w:val="1"/>
            </w:pPr>
            <w:r>
              <w:t>IMC-BC1</w:t>
            </w:r>
          </w:p>
        </w:tc>
        <w:tc>
          <w:tcPr>
            <w:tcW w:type="dxa" w:w="720"/>
          </w:tcPr>
          <w:p>
            <w:pPr>
              <w:keepLines w:val="1"/>
              <w:keepNext w:val="1"/>
            </w:pPr>
            <w:r>
              <w:t>Obligatorio (DORA/NIS2)</w:t>
            </w:r>
          </w:p>
        </w:tc>
        <w:tc>
          <w:tcPr>
            <w:tcW w:type="dxa" w:w="720"/>
          </w:tcPr>
          <w:p>
            <w:pPr>
              <w:keepLines w:val="1"/>
              <w:keepNext w:val="1"/>
            </w:pPr>
            <w:r>
              <w:t>Resultados de ejercicios BCP/DRP con comparativa RTO objetivo vs. RTO alcanzado; firma del CISO y CO</w:t>
            </w:r>
          </w:p>
        </w:tc>
      </w:tr>
      <w:tr>
        <w:trPr>
          <w:cantSplit w:val="1"/>
        </w:trPr>
        <w:tc>
          <w:tcPr>
            <w:tcW w:type="dxa" w:w="720"/>
          </w:tcPr>
          <w:p>
            <w:pPr>
              <w:keepLines w:val="1"/>
              <w:keepNext w:val="1"/>
            </w:pPr>
            <w:r>
              <w:t>D.M4</w:t>
            </w:r>
          </w:p>
        </w:tc>
        <w:tc>
          <w:tcPr>
            <w:tcW w:type="dxa" w:w="720"/>
          </w:tcPr>
          <w:p>
            <w:pPr>
              <w:keepLines w:val="1"/>
              <w:keepNext w:val="1"/>
            </w:pPr>
            <w:r>
              <w:t>TBNO</w:t>
            </w:r>
          </w:p>
        </w:tc>
        <w:tc>
          <w:tcPr>
            <w:tcW w:type="dxa" w:w="720"/>
          </w:tcPr>
          <w:p>
            <w:pPr>
              <w:keepLines w:val="1"/>
              <w:keepNext w:val="1"/>
            </w:pPr>
            <w:r>
              <w:t>Art.23.1 (notificación de incidentes)</w:t>
            </w:r>
          </w:p>
        </w:tc>
        <w:tc>
          <w:tcPr>
            <w:tcW w:type="dxa" w:w="720"/>
          </w:tcPr>
          <w:p>
            <w:pPr>
              <w:keepLines w:val="1"/>
              <w:keepNext w:val="1"/>
            </w:pPr>
            <w:r>
              <w:t>Op.exp.6 (detección incidentes)</w:t>
            </w:r>
          </w:p>
        </w:tc>
        <w:tc>
          <w:tcPr>
            <w:tcW w:type="dxa" w:w="720"/>
          </w:tcPr>
          <w:p>
            <w:pPr>
              <w:keepLines w:val="1"/>
              <w:keepNext w:val="1"/>
            </w:pPr>
            <w:r>
              <w:t>Art.19 (notificación)</w:t>
            </w:r>
          </w:p>
        </w:tc>
        <w:tc>
          <w:tcPr>
            <w:tcW w:type="dxa" w:w="720"/>
          </w:tcPr>
          <w:p>
            <w:pPr>
              <w:keepLines w:val="1"/>
              <w:keepNext w:val="1"/>
            </w:pPr>
            <w:r>
              <w:t>Art.33-34 GDPR</w:t>
            </w:r>
          </w:p>
        </w:tc>
        <w:tc>
          <w:tcPr>
            <w:tcW w:type="dxa" w:w="720"/>
          </w:tcPr>
          <w:p>
            <w:pPr>
              <w:keepLines w:val="1"/>
              <w:keepNext w:val="1"/>
            </w:pPr>
            <w:r>
              <w:t>A.16.1.2 (notificación)</w:t>
            </w:r>
          </w:p>
        </w:tc>
        <w:tc>
          <w:tcPr>
            <w:tcW w:type="dxa" w:w="720"/>
          </w:tcPr>
          <w:p>
            <w:pPr>
              <w:keepLines w:val="1"/>
              <w:keepNext w:val="1"/>
            </w:pPr>
            <w:r>
              <w:t>RS.CO (Respond.Comunic.)</w:t>
            </w:r>
          </w:p>
        </w:tc>
        <w:tc>
          <w:tcPr>
            <w:tcW w:type="dxa" w:w="720"/>
          </w:tcPr>
          <w:p>
            <w:pPr>
              <w:keepLines w:val="1"/>
              <w:keepNext w:val="1"/>
            </w:pPr>
            <w:r>
              <w:t>—</w:t>
            </w:r>
          </w:p>
        </w:tc>
        <w:tc>
          <w:tcPr>
            <w:tcW w:type="dxa" w:w="720"/>
          </w:tcPr>
          <w:p>
            <w:pPr>
              <w:keepLines w:val="1"/>
              <w:keepNext w:val="1"/>
            </w:pPr>
            <w:r>
              <w:t>—</w:t>
            </w:r>
          </w:p>
        </w:tc>
        <w:tc>
          <w:tcPr>
            <w:tcW w:type="dxa" w:w="720"/>
          </w:tcPr>
          <w:p>
            <w:pPr>
              <w:keepLines w:val="1"/>
              <w:keepNext w:val="1"/>
            </w:pPr>
            <w:r>
              <w:t>IMC-N1</w:t>
            </w:r>
          </w:p>
        </w:tc>
        <w:tc>
          <w:tcPr>
            <w:tcW w:type="dxa" w:w="720"/>
          </w:tcPr>
          <w:p>
            <w:pPr>
              <w:keepLines w:val="1"/>
              <w:keepNext w:val="1"/>
            </w:pPr>
            <w:r>
              <w:t>Obligatorio (GDPR/NIS2)</w:t>
            </w:r>
          </w:p>
        </w:tc>
        <w:tc>
          <w:tcPr>
            <w:tcW w:type="dxa" w:w="720"/>
          </w:tcPr>
          <w:p>
            <w:pPr>
              <w:keepLines w:val="1"/>
              <w:keepNext w:val="1"/>
            </w:pPr>
            <w:r>
              <w:t>Registro DPO con timestamps de detección, clasificación y notificación; confirmación de recepción AEPD</w:t>
            </w:r>
          </w:p>
        </w:tc>
      </w:tr>
      <w:tr>
        <w:trPr>
          <w:cantSplit w:val="1"/>
        </w:trPr>
        <w:tc>
          <w:tcPr>
            <w:tcW w:type="dxa" w:w="720"/>
          </w:tcPr>
          <w:p>
            <w:pPr>
              <w:keepLines w:val="1"/>
            </w:pPr>
            <w:r>
              <w:t>D.M5</w:t>
            </w:r>
          </w:p>
        </w:tc>
        <w:tc>
          <w:tcPr>
            <w:tcW w:type="dxa" w:w="720"/>
          </w:tcPr>
          <w:p>
            <w:pPr>
              <w:keepLines w:val="1"/>
            </w:pPr>
            <w:r>
              <w:t>TMCD</w:t>
            </w:r>
          </w:p>
        </w:tc>
        <w:tc>
          <w:tcPr>
            <w:tcW w:type="dxa" w:w="720"/>
          </w:tcPr>
          <w:p>
            <w:pPr>
              <w:keepLines w:val="1"/>
            </w:pPr>
            <w:r>
              <w:t>Art.23.1 (alerta temprana ≤ 24h)</w:t>
            </w:r>
          </w:p>
        </w:tc>
        <w:tc>
          <w:tcPr>
            <w:tcW w:type="dxa" w:w="720"/>
          </w:tcPr>
          <w:p>
            <w:pPr>
              <w:keepLines w:val="1"/>
            </w:pPr>
            <w:r>
              <w:t>Op.exp.4 (monitorización)</w:t>
            </w:r>
          </w:p>
        </w:tc>
        <w:tc>
          <w:tcPr>
            <w:tcW w:type="dxa" w:w="720"/>
          </w:tcPr>
          <w:p>
            <w:pPr>
              <w:keepLines w:val="1"/>
            </w:pPr>
            <w:r>
              <w:t>Art.19.4 (alerta temprana)</w:t>
            </w:r>
          </w:p>
        </w:tc>
        <w:tc>
          <w:tcPr>
            <w:tcW w:type="dxa" w:w="720"/>
          </w:tcPr>
          <w:p>
            <w:pPr>
              <w:keepLines w:val="1"/>
            </w:pPr>
            <w:r>
              <w:t>—</w:t>
            </w:r>
          </w:p>
        </w:tc>
        <w:tc>
          <w:tcPr>
            <w:tcW w:type="dxa" w:w="720"/>
          </w:tcPr>
          <w:p>
            <w:pPr>
              <w:keepLines w:val="1"/>
            </w:pPr>
            <w:r>
              <w:t>A.16.1.5 (respuesta a incidentes)</w:t>
            </w:r>
          </w:p>
        </w:tc>
        <w:tc>
          <w:tcPr>
            <w:tcW w:type="dxa" w:w="720"/>
          </w:tcPr>
          <w:p>
            <w:pPr>
              <w:keepLines w:val="1"/>
            </w:pPr>
            <w:r>
              <w:t>RS.AN (Respond.Analysis)</w:t>
            </w:r>
          </w:p>
        </w:tc>
        <w:tc>
          <w:tcPr>
            <w:tcW w:type="dxa" w:w="720"/>
          </w:tcPr>
          <w:p>
            <w:pPr>
              <w:keepLines w:val="1"/>
            </w:pPr>
            <w:r>
              <w:t>—</w:t>
            </w:r>
          </w:p>
        </w:tc>
        <w:tc>
          <w:tcPr>
            <w:tcW w:type="dxa" w:w="720"/>
          </w:tcPr>
          <w:p>
            <w:pPr>
              <w:keepLines w:val="1"/>
            </w:pPr>
            <w:r>
              <w:t>—</w:t>
            </w:r>
          </w:p>
        </w:tc>
        <w:tc>
          <w:tcPr>
            <w:tcW w:type="dxa" w:w="720"/>
          </w:tcPr>
          <w:p>
            <w:pPr>
              <w:keepLines w:val="1"/>
            </w:pPr>
            <w:r>
              <w:t>IMC-D1</w:t>
            </w:r>
          </w:p>
        </w:tc>
        <w:tc>
          <w:tcPr>
            <w:tcW w:type="dxa" w:w="720"/>
          </w:tcPr>
          <w:p>
            <w:pPr>
              <w:keepLines w:val="1"/>
            </w:pPr>
            <w:r>
              <w:t>Obligatorio (NIS2 Art.23.1)</w:t>
            </w:r>
          </w:p>
        </w:tc>
        <w:tc>
          <w:tcPr>
            <w:tcW w:type="dxa" w:w="720"/>
          </w:tcPr>
          <w:p>
            <w:pPr>
              <w:keepLines w:val="1"/>
            </w:pPr>
            <w:r>
              <w:t>Log del sistema ITSM con timestamps de clasificación; evidencia de alertas tempranas al CNCS en &lt; 24h</w:t>
            </w:r>
          </w:p>
        </w:tc>
      </w:tr>
    </w:tbl>
    <w:p/>
    <w:p>
      <w:pPr>
        <w:pStyle w:val="Heading3"/>
        <w:keepNext/>
        <w:keepLines/>
      </w:pPr>
      <w:r>
        <w:t>DIMENSIÓN R — REPRODUCIBILIDAD</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rPr>
          <w:cantSplit w:val="1"/>
        </w:trPr>
        <w:tc>
          <w:tcPr>
            <w:tcW w:type="dxa" w:w="720"/>
            <w:shd w:fill="0033CC"/>
          </w:tcPr>
          <w:p>
            <w:pPr>
              <w:keepLines w:val="1"/>
              <w:keepNext w:val="1"/>
            </w:pPr>
            <w:r>
              <w:rPr>
                <w:b/>
                <w:color w:val="FFFFFF"/>
              </w:rPr>
              <w:t>ID Métrica</w:t>
            </w:r>
          </w:p>
        </w:tc>
        <w:tc>
          <w:tcPr>
            <w:tcW w:type="dxa" w:w="720"/>
            <w:shd w:fill="0033CC"/>
          </w:tcPr>
          <w:p>
            <w:pPr>
              <w:keepLines w:val="1"/>
              <w:keepNext w:val="1"/>
            </w:pPr>
            <w:r>
              <w:rPr>
                <w:b/>
                <w:color w:val="FFFFFF"/>
              </w:rPr>
              <w:t>Nombre</w:t>
            </w:r>
          </w:p>
        </w:tc>
        <w:tc>
          <w:tcPr>
            <w:tcW w:type="dxa" w:w="720"/>
            <w:shd w:fill="0033CC"/>
          </w:tcPr>
          <w:p>
            <w:pPr>
              <w:keepLines w:val="1"/>
              <w:keepNext w:val="1"/>
            </w:pPr>
            <w:r>
              <w:rPr>
                <w:b/>
                <w:color w:val="FFFFFF"/>
              </w:rPr>
              <w:t>NIS2</w:t>
            </w:r>
          </w:p>
        </w:tc>
        <w:tc>
          <w:tcPr>
            <w:tcW w:type="dxa" w:w="720"/>
            <w:shd w:fill="0033CC"/>
          </w:tcPr>
          <w:p>
            <w:pPr>
              <w:keepLines w:val="1"/>
              <w:keepNext w:val="1"/>
            </w:pPr>
            <w:r>
              <w:rPr>
                <w:b/>
                <w:color w:val="FFFFFF"/>
              </w:rPr>
              <w:t>ENS</w:t>
            </w:r>
          </w:p>
        </w:tc>
        <w:tc>
          <w:tcPr>
            <w:tcW w:type="dxa" w:w="720"/>
            <w:shd w:fill="0033CC"/>
          </w:tcPr>
          <w:p>
            <w:pPr>
              <w:keepLines w:val="1"/>
              <w:keepNext w:val="1"/>
            </w:pPr>
            <w:r>
              <w:rPr>
                <w:b/>
                <w:color w:val="FFFFFF"/>
              </w:rPr>
              <w:t>DORA</w:t>
            </w:r>
          </w:p>
        </w:tc>
        <w:tc>
          <w:tcPr>
            <w:tcW w:type="dxa" w:w="720"/>
            <w:shd w:fill="0033CC"/>
          </w:tcPr>
          <w:p>
            <w:pPr>
              <w:keepLines w:val="1"/>
              <w:keepNext w:val="1"/>
            </w:pPr>
            <w:r>
              <w:rPr>
                <w:b/>
                <w:color w:val="FFFFFF"/>
              </w:rPr>
              <w:t>GDPR</w:t>
            </w:r>
          </w:p>
        </w:tc>
        <w:tc>
          <w:tcPr>
            <w:tcW w:type="dxa" w:w="720"/>
            <w:shd w:fill="0033CC"/>
          </w:tcPr>
          <w:p>
            <w:pPr>
              <w:keepLines w:val="1"/>
              <w:keepNext w:val="1"/>
            </w:pPr>
            <w:r>
              <w:rPr>
                <w:b/>
                <w:color w:val="FFFFFF"/>
              </w:rPr>
              <w:t>ISO 27001:2022</w:t>
            </w:r>
          </w:p>
        </w:tc>
        <w:tc>
          <w:tcPr>
            <w:tcW w:type="dxa" w:w="720"/>
            <w:shd w:fill="0033CC"/>
          </w:tcPr>
          <w:p>
            <w:pPr>
              <w:keepLines w:val="1"/>
              <w:keepNext w:val="1"/>
            </w:pPr>
            <w:r>
              <w:rPr>
                <w:b/>
                <w:color w:val="FFFFFF"/>
              </w:rPr>
              <w:t>NIST CSF 2.0</w:t>
            </w:r>
          </w:p>
        </w:tc>
        <w:tc>
          <w:tcPr>
            <w:tcW w:type="dxa" w:w="720"/>
            <w:shd w:fill="0033CC"/>
          </w:tcPr>
          <w:p>
            <w:pPr>
              <w:keepLines w:val="1"/>
              <w:keepNext w:val="1"/>
            </w:pPr>
            <w:r>
              <w:rPr>
                <w:b/>
                <w:color w:val="FFFFFF"/>
              </w:rPr>
              <w:t>CRA</w:t>
            </w:r>
          </w:p>
        </w:tc>
        <w:tc>
          <w:tcPr>
            <w:tcW w:type="dxa" w:w="720"/>
            <w:shd w:fill="0033CC"/>
          </w:tcPr>
          <w:p>
            <w:pPr>
              <w:keepLines w:val="1"/>
              <w:keepNext w:val="1"/>
            </w:pPr>
            <w:r>
              <w:rPr>
                <w:b/>
                <w:color w:val="FFFFFF"/>
              </w:rPr>
              <w:t>IEC 62443</w:t>
            </w:r>
          </w:p>
        </w:tc>
        <w:tc>
          <w:tcPr>
            <w:tcW w:type="dxa" w:w="720"/>
            <w:shd w:fill="0033CC"/>
          </w:tcPr>
          <w:p>
            <w:pPr>
              <w:keepLines w:val="1"/>
              <w:keepNext w:val="1"/>
            </w:pPr>
            <w:r>
              <w:rPr>
                <w:b/>
                <w:color w:val="FFFFFF"/>
              </w:rPr>
              <w:t>INCIBE-IMC</w:t>
            </w:r>
          </w:p>
        </w:tc>
        <w:tc>
          <w:tcPr>
            <w:tcW w:type="dxa" w:w="720"/>
            <w:shd w:fill="0033CC"/>
          </w:tcPr>
          <w:p>
            <w:pPr>
              <w:keepLines w:val="1"/>
              <w:keepNext w:val="1"/>
            </w:pPr>
            <w:r>
              <w:rPr>
                <w:b/>
                <w:color w:val="FFFFFF"/>
              </w:rPr>
              <w:t>Tipo Req.</w:t>
            </w:r>
          </w:p>
        </w:tc>
        <w:tc>
          <w:tcPr>
            <w:tcW w:type="dxa" w:w="720"/>
            <w:shd w:fill="0033CC"/>
          </w:tcPr>
          <w:p>
            <w:pPr>
              <w:keepLines w:val="1"/>
              <w:keepNext w:val="1"/>
            </w:pPr>
            <w:r>
              <w:rPr>
                <w:b/>
                <w:color w:val="FFFFFF"/>
              </w:rPr>
              <w:t>Evidencia de auditoría</w:t>
            </w:r>
          </w:p>
        </w:tc>
      </w:tr>
      <w:tr>
        <w:trPr>
          <w:cantSplit w:val="1"/>
        </w:trPr>
        <w:tc>
          <w:tcPr>
            <w:tcW w:type="dxa" w:w="720"/>
          </w:tcPr>
          <w:p>
            <w:pPr>
              <w:keepLines w:val="1"/>
              <w:keepNext w:val="1"/>
            </w:pPr>
            <w:r>
              <w:t>R.M1</w:t>
            </w:r>
          </w:p>
        </w:tc>
        <w:tc>
          <w:tcPr>
            <w:tcW w:type="dxa" w:w="720"/>
          </w:tcPr>
          <w:p>
            <w:pPr>
              <w:keepLines w:val="1"/>
              <w:keepNext w:val="1"/>
            </w:pPr>
            <w:r>
              <w:t>MTTR por DREAD-R</w:t>
            </w:r>
          </w:p>
        </w:tc>
        <w:tc>
          <w:tcPr>
            <w:tcW w:type="dxa" w:w="720"/>
          </w:tcPr>
          <w:p>
            <w:pPr>
              <w:keepLines w:val="1"/>
              <w:keepNext w:val="1"/>
            </w:pPr>
            <w:r>
              <w:t>Art.21.2.e (gestión de vulnerabilidades)</w:t>
            </w:r>
          </w:p>
        </w:tc>
        <w:tc>
          <w:tcPr>
            <w:tcW w:type="dxa" w:w="720"/>
          </w:tcPr>
          <w:p>
            <w:pPr>
              <w:keepLines w:val="1"/>
              <w:keepNext w:val="1"/>
            </w:pPr>
            <w:r>
              <w:t>Mp.sw.2 (gestión de parches)</w:t>
            </w:r>
          </w:p>
        </w:tc>
        <w:tc>
          <w:tcPr>
            <w:tcW w:type="dxa" w:w="720"/>
          </w:tcPr>
          <w:p>
            <w:pPr>
              <w:keepLines w:val="1"/>
              <w:keepNext w:val="1"/>
            </w:pPr>
            <w:r>
              <w:t>Art.9.2 (gestión de parches TIC)</w:t>
            </w:r>
          </w:p>
        </w:tc>
        <w:tc>
          <w:tcPr>
            <w:tcW w:type="dxa" w:w="720"/>
          </w:tcPr>
          <w:p>
            <w:pPr>
              <w:keepLines w:val="1"/>
              <w:keepNext w:val="1"/>
            </w:pPr>
            <w:r>
              <w:t>—</w:t>
            </w:r>
          </w:p>
        </w:tc>
        <w:tc>
          <w:tcPr>
            <w:tcW w:type="dxa" w:w="720"/>
          </w:tcPr>
          <w:p>
            <w:pPr>
              <w:keepLines w:val="1"/>
              <w:keepNext w:val="1"/>
            </w:pPr>
            <w:r>
              <w:t>A.12.6.1 (gestión de vulnerabilidades técnicas)</w:t>
            </w:r>
          </w:p>
        </w:tc>
        <w:tc>
          <w:tcPr>
            <w:tcW w:type="dxa" w:w="720"/>
          </w:tcPr>
          <w:p>
            <w:pPr>
              <w:keepLines w:val="1"/>
              <w:keepNext w:val="1"/>
            </w:pPr>
            <w:r>
              <w:t>ID.RA (Identify.Risk Assessment)</w:t>
            </w:r>
          </w:p>
        </w:tc>
        <w:tc>
          <w:tcPr>
            <w:tcW w:type="dxa" w:w="720"/>
          </w:tcPr>
          <w:p>
            <w:pPr>
              <w:keepLines w:val="1"/>
              <w:keepNext w:val="1"/>
            </w:pPr>
            <w:r>
              <w:t>Art.13.2.c (parcheo oportuno)</w:t>
            </w:r>
          </w:p>
        </w:tc>
        <w:tc>
          <w:tcPr>
            <w:tcW w:type="dxa" w:w="720"/>
          </w:tcPr>
          <w:p>
            <w:pPr>
              <w:keepLines w:val="1"/>
              <w:keepNext w:val="1"/>
            </w:pPr>
            <w:r>
              <w:t>SR 2.2 (gestión de actualizaciones)</w:t>
            </w:r>
          </w:p>
        </w:tc>
        <w:tc>
          <w:tcPr>
            <w:tcW w:type="dxa" w:w="720"/>
          </w:tcPr>
          <w:p>
            <w:pPr>
              <w:keepLines w:val="1"/>
              <w:keepNext w:val="1"/>
            </w:pPr>
            <w:r>
              <w:t>IMC-V1</w:t>
            </w:r>
          </w:p>
        </w:tc>
        <w:tc>
          <w:tcPr>
            <w:tcW w:type="dxa" w:w="720"/>
          </w:tcPr>
          <w:p>
            <w:pPr>
              <w:keepLines w:val="1"/>
              <w:keepNext w:val="1"/>
            </w:pPr>
            <w:r>
              <w:t>Obligatorio (NIS2/CRA)</w:t>
            </w:r>
          </w:p>
        </w:tc>
        <w:tc>
          <w:tcPr>
            <w:tcW w:type="dxa" w:w="720"/>
          </w:tcPr>
          <w:p>
            <w:pPr>
              <w:keepLines w:val="1"/>
              <w:keepNext w:val="1"/>
            </w:pPr>
            <w:r>
              <w:t>Registro de vulnerabilidades con fechas de publicación CVE, fechas de remediación y SLAs; informe de excepciones con justificación</w:t>
            </w:r>
          </w:p>
        </w:tc>
      </w:tr>
      <w:tr>
        <w:trPr>
          <w:cantSplit w:val="1"/>
        </w:trPr>
        <w:tc>
          <w:tcPr>
            <w:tcW w:type="dxa" w:w="720"/>
          </w:tcPr>
          <w:p>
            <w:pPr>
              <w:keepLines w:val="1"/>
              <w:keepNext w:val="1"/>
            </w:pPr>
            <w:r>
              <w:t>R.M2</w:t>
            </w:r>
          </w:p>
        </w:tc>
        <w:tc>
          <w:tcPr>
            <w:tcW w:type="dxa" w:w="720"/>
          </w:tcPr>
          <w:p>
            <w:pPr>
              <w:keepLines w:val="1"/>
              <w:keepNext w:val="1"/>
            </w:pPr>
            <w:r>
              <w:t>TVER (EPSS)</w:t>
            </w:r>
          </w:p>
        </w:tc>
        <w:tc>
          <w:tcPr>
            <w:tcW w:type="dxa" w:w="720"/>
          </w:tcPr>
          <w:p>
            <w:pPr>
              <w:keepLines w:val="1"/>
              <w:keepNext w:val="1"/>
            </w:pPr>
            <w:r>
              <w:t>Art.21.2.e (priorización de vulnerabilidades)</w:t>
            </w:r>
          </w:p>
        </w:tc>
        <w:tc>
          <w:tcPr>
            <w:tcW w:type="dxa" w:w="720"/>
          </w:tcPr>
          <w:p>
            <w:pPr>
              <w:keepLines w:val="1"/>
              <w:keepNext w:val="1"/>
            </w:pPr>
            <w:r>
              <w:t>Mp.sw.2 (priorización riesgos)</w:t>
            </w:r>
          </w:p>
        </w:tc>
        <w:tc>
          <w:tcPr>
            <w:tcW w:type="dxa" w:w="720"/>
          </w:tcPr>
          <w:p>
            <w:pPr>
              <w:keepLines w:val="1"/>
              <w:keepNext w:val="1"/>
            </w:pPr>
            <w:r>
              <w:t>Art.9.2 (priorización)</w:t>
            </w:r>
          </w:p>
        </w:tc>
        <w:tc>
          <w:tcPr>
            <w:tcW w:type="dxa" w:w="720"/>
          </w:tcPr>
          <w:p>
            <w:pPr>
              <w:keepLines w:val="1"/>
              <w:keepNext w:val="1"/>
            </w:pPr>
            <w:r>
              <w:t>—</w:t>
            </w:r>
          </w:p>
        </w:tc>
        <w:tc>
          <w:tcPr>
            <w:tcW w:type="dxa" w:w="720"/>
          </w:tcPr>
          <w:p>
            <w:pPr>
              <w:keepLines w:val="1"/>
              <w:keepNext w:val="1"/>
            </w:pPr>
            <w:r>
              <w:t>A.12.6.1 (priorización vulnerabilidades)</w:t>
            </w:r>
          </w:p>
        </w:tc>
        <w:tc>
          <w:tcPr>
            <w:tcW w:type="dxa" w:w="720"/>
          </w:tcPr>
          <w:p>
            <w:pPr>
              <w:keepLines w:val="1"/>
              <w:keepNext w:val="1"/>
            </w:pPr>
            <w:r>
              <w:t>ID.RA-1 (identificación amenazas)</w:t>
            </w:r>
          </w:p>
        </w:tc>
        <w:tc>
          <w:tcPr>
            <w:tcW w:type="dxa" w:w="720"/>
          </w:tcPr>
          <w:p>
            <w:pPr>
              <w:keepLines w:val="1"/>
              <w:keepNext w:val="1"/>
            </w:pPr>
            <w:r>
              <w:t>Art.13.2.c</w:t>
            </w:r>
          </w:p>
        </w:tc>
        <w:tc>
          <w:tcPr>
            <w:tcW w:type="dxa" w:w="720"/>
          </w:tcPr>
          <w:p>
            <w:pPr>
              <w:keepLines w:val="1"/>
              <w:keepNext w:val="1"/>
            </w:pPr>
            <w:r>
              <w:t>SR 2.2</w:t>
            </w:r>
          </w:p>
        </w:tc>
        <w:tc>
          <w:tcPr>
            <w:tcW w:type="dxa" w:w="720"/>
          </w:tcPr>
          <w:p>
            <w:pPr>
              <w:keepLines w:val="1"/>
              <w:keepNext w:val="1"/>
            </w:pPr>
            <w:r>
              <w:t>IMC-V2</w:t>
            </w:r>
          </w:p>
        </w:tc>
        <w:tc>
          <w:tcPr>
            <w:tcW w:type="dxa" w:w="720"/>
          </w:tcPr>
          <w:p>
            <w:pPr>
              <w:keepLines w:val="1"/>
              <w:keepNext w:val="1"/>
            </w:pPr>
            <w:r>
              <w:t>Recomendado</w:t>
            </w:r>
          </w:p>
        </w:tc>
        <w:tc>
          <w:tcPr>
            <w:tcW w:type="dxa" w:w="720"/>
          </w:tcPr>
          <w:p>
            <w:pPr>
              <w:keepLines w:val="1"/>
              <w:keepNext w:val="1"/>
            </w:pPr>
            <w:r>
              <w:t>Dashboard VM con integración EPSS; evidencia de priorización de vulnerabilidades EPSS &gt; 0.5; ratios de remediación por cuartil EPSS</w:t>
            </w:r>
          </w:p>
        </w:tc>
      </w:tr>
      <w:tr>
        <w:trPr>
          <w:cantSplit w:val="1"/>
        </w:trPr>
        <w:tc>
          <w:tcPr>
            <w:tcW w:type="dxa" w:w="720"/>
          </w:tcPr>
          <w:p>
            <w:pPr>
              <w:keepLines w:val="1"/>
              <w:keepNext w:val="1"/>
            </w:pPr>
            <w:r>
              <w:t>R.M3</w:t>
            </w:r>
          </w:p>
        </w:tc>
        <w:tc>
          <w:tcPr>
            <w:tcW w:type="dxa" w:w="720"/>
          </w:tcPr>
          <w:p>
            <w:pPr>
              <w:keepLines w:val="1"/>
              <w:keepNext w:val="1"/>
            </w:pPr>
            <w:r>
              <w:t>ICEP</w:t>
            </w:r>
          </w:p>
        </w:tc>
        <w:tc>
          <w:tcPr>
            <w:tcW w:type="dxa" w:w="720"/>
          </w:tcPr>
          <w:p>
            <w:pPr>
              <w:keepLines w:val="1"/>
              <w:keepNext w:val="1"/>
            </w:pPr>
            <w:r>
              <w:t>Art.21.2.e (monitorización amenazas)</w:t>
            </w:r>
          </w:p>
        </w:tc>
        <w:tc>
          <w:tcPr>
            <w:tcW w:type="dxa" w:w="720"/>
          </w:tcPr>
          <w:p>
            <w:pPr>
              <w:keepLines w:val="1"/>
              <w:keepNext w:val="1"/>
            </w:pPr>
            <w:r>
              <w:t>Op.exp.2 (monitorización amenazas externas)</w:t>
            </w:r>
          </w:p>
        </w:tc>
        <w:tc>
          <w:tcPr>
            <w:tcW w:type="dxa" w:w="720"/>
          </w:tcPr>
          <w:p>
            <w:pPr>
              <w:keepLines w:val="1"/>
              <w:keepNext w:val="1"/>
            </w:pPr>
            <w:r>
              <w:t>Art.9.2</w:t>
            </w:r>
          </w:p>
        </w:tc>
        <w:tc>
          <w:tcPr>
            <w:tcW w:type="dxa" w:w="720"/>
          </w:tcPr>
          <w:p>
            <w:pPr>
              <w:keepLines w:val="1"/>
              <w:keepNext w:val="1"/>
            </w:pPr>
            <w:r>
              <w:t>—</w:t>
            </w:r>
          </w:p>
        </w:tc>
        <w:tc>
          <w:tcPr>
            <w:tcW w:type="dxa" w:w="720"/>
          </w:tcPr>
          <w:p>
            <w:pPr>
              <w:keepLines w:val="1"/>
              <w:keepNext w:val="1"/>
            </w:pPr>
            <w:r>
              <w:t>A.6.1.4 (inteligencia de amenazas)</w:t>
            </w:r>
          </w:p>
        </w:tc>
        <w:tc>
          <w:tcPr>
            <w:tcW w:type="dxa" w:w="720"/>
          </w:tcPr>
          <w:p>
            <w:pPr>
              <w:keepLines w:val="1"/>
              <w:keepNext w:val="1"/>
            </w:pPr>
            <w:r>
              <w:t>ID.RA-2 (feeds de inteligencia)</w:t>
            </w:r>
          </w:p>
        </w:tc>
        <w:tc>
          <w:tcPr>
            <w:tcW w:type="dxa" w:w="720"/>
          </w:tcPr>
          <w:p>
            <w:pPr>
              <w:keepLines w:val="1"/>
              <w:keepNext w:val="1"/>
            </w:pPr>
            <w:r>
              <w:t>Art.13.2.c</w:t>
            </w:r>
          </w:p>
        </w:tc>
        <w:tc>
          <w:tcPr>
            <w:tcW w:type="dxa" w:w="720"/>
          </w:tcPr>
          <w:p>
            <w:pPr>
              <w:keepLines w:val="1"/>
              <w:keepNext w:val="1"/>
            </w:pPr>
            <w:r>
              <w:t>SR 2.2</w:t>
            </w:r>
          </w:p>
        </w:tc>
        <w:tc>
          <w:tcPr>
            <w:tcW w:type="dxa" w:w="720"/>
          </w:tcPr>
          <w:p>
            <w:pPr>
              <w:keepLines w:val="1"/>
              <w:keepNext w:val="1"/>
            </w:pPr>
            <w:r>
              <w:t>IMC-TI1</w:t>
            </w:r>
          </w:p>
        </w:tc>
        <w:tc>
          <w:tcPr>
            <w:tcW w:type="dxa" w:w="720"/>
          </w:tcPr>
          <w:p>
            <w:pPr>
              <w:keepLines w:val="1"/>
              <w:keepNext w:val="1"/>
            </w:pPr>
            <w:r>
              <w:t>Recomendado</w:t>
            </w:r>
          </w:p>
        </w:tc>
        <w:tc>
          <w:tcPr>
            <w:tcW w:type="dxa" w:w="720"/>
          </w:tcPr>
          <w:p>
            <w:pPr>
              <w:keepLines w:val="1"/>
              <w:keepNext w:val="1"/>
            </w:pPr>
            <w:r>
              <w:t>Registro de amenazas con verificación de exploit público en bases externas (ExploitDB, NVD); correlación con plan de remediación</w:t>
            </w:r>
          </w:p>
        </w:tc>
      </w:tr>
      <w:tr>
        <w:trPr>
          <w:cantSplit w:val="1"/>
        </w:trPr>
        <w:tc>
          <w:tcPr>
            <w:tcW w:type="dxa" w:w="720"/>
          </w:tcPr>
          <w:p>
            <w:pPr>
              <w:keepLines w:val="1"/>
            </w:pPr>
            <w:r>
              <w:t>R.M4</w:t>
            </w:r>
          </w:p>
        </w:tc>
        <w:tc>
          <w:tcPr>
            <w:tcW w:type="dxa" w:w="720"/>
          </w:tcPr>
          <w:p>
            <w:pPr>
              <w:keepLines w:val="1"/>
            </w:pPr>
            <w:r>
              <w:t>VEE</w:t>
            </w:r>
          </w:p>
        </w:tc>
        <w:tc>
          <w:tcPr>
            <w:tcW w:type="dxa" w:w="720"/>
          </w:tcPr>
          <w:p>
            <w:pPr>
              <w:keepLines w:val="1"/>
            </w:pPr>
            <w:r>
              <w:t>Art.21.2.e (ventana de exposición)</w:t>
            </w:r>
          </w:p>
        </w:tc>
        <w:tc>
          <w:tcPr>
            <w:tcW w:type="dxa" w:w="720"/>
          </w:tcPr>
          <w:p>
            <w:pPr>
              <w:keepLines w:val="1"/>
            </w:pPr>
            <w:r>
              <w:t>Mp.sw.2</w:t>
            </w:r>
          </w:p>
        </w:tc>
        <w:tc>
          <w:tcPr>
            <w:tcW w:type="dxa" w:w="720"/>
          </w:tcPr>
          <w:p>
            <w:pPr>
              <w:keepLines w:val="1"/>
            </w:pPr>
            <w:r>
              <w:t>Art.9.2</w:t>
            </w:r>
          </w:p>
        </w:tc>
        <w:tc>
          <w:tcPr>
            <w:tcW w:type="dxa" w:w="720"/>
          </w:tcPr>
          <w:p>
            <w:pPr>
              <w:keepLines w:val="1"/>
            </w:pPr>
            <w:r>
              <w:t>—</w:t>
            </w:r>
          </w:p>
        </w:tc>
        <w:tc>
          <w:tcPr>
            <w:tcW w:type="dxa" w:w="720"/>
          </w:tcPr>
          <w:p>
            <w:pPr>
              <w:keepLines w:val="1"/>
            </w:pPr>
            <w:r>
              <w:t>A.12.6.1</w:t>
            </w:r>
          </w:p>
        </w:tc>
        <w:tc>
          <w:tcPr>
            <w:tcW w:type="dxa" w:w="720"/>
          </w:tcPr>
          <w:p>
            <w:pPr>
              <w:keepLines w:val="1"/>
            </w:pPr>
            <w:r>
              <w:t>ID.RA-1</w:t>
            </w:r>
          </w:p>
        </w:tc>
        <w:tc>
          <w:tcPr>
            <w:tcW w:type="dxa" w:w="720"/>
          </w:tcPr>
          <w:p>
            <w:pPr>
              <w:keepLines w:val="1"/>
            </w:pPr>
            <w:r>
              <w:t>Art.13.2.c</w:t>
            </w:r>
          </w:p>
        </w:tc>
        <w:tc>
          <w:tcPr>
            <w:tcW w:type="dxa" w:w="720"/>
          </w:tcPr>
          <w:p>
            <w:pPr>
              <w:keepLines w:val="1"/>
            </w:pPr>
            <w:r>
              <w:t>SR 2.2</w:t>
            </w:r>
          </w:p>
        </w:tc>
        <w:tc>
          <w:tcPr>
            <w:tcW w:type="dxa" w:w="720"/>
          </w:tcPr>
          <w:p>
            <w:pPr>
              <w:keepLines w:val="1"/>
            </w:pPr>
            <w:r>
              <w:t>IMC-V3</w:t>
            </w:r>
          </w:p>
        </w:tc>
        <w:tc>
          <w:tcPr>
            <w:tcW w:type="dxa" w:w="720"/>
          </w:tcPr>
          <w:p>
            <w:pPr>
              <w:keepLines w:val="1"/>
            </w:pPr>
            <w:r>
              <w:t>Recomendado</w:t>
            </w:r>
          </w:p>
        </w:tc>
        <w:tc>
          <w:tcPr>
            <w:tcW w:type="dxa" w:w="720"/>
          </w:tcPr>
          <w:p>
            <w:pPr>
              <w:keepLines w:val="1"/>
            </w:pPr>
            <w:r>
              <w:t>Análisis de ventana de exposición por activo crítico; evidencia de ASM con timestamps de primera detección externa</w:t>
            </w:r>
          </w:p>
        </w:tc>
      </w:tr>
    </w:tbl>
    <w:p/>
    <w:p>
      <w:pPr>
        <w:pStyle w:val="Heading3"/>
        <w:keepNext/>
        <w:keepLines/>
      </w:pPr>
      <w:r>
        <w:t>DIMENSIÓN E — EXPLOTABILIDAD</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rPr>
          <w:cantSplit w:val="1"/>
        </w:trPr>
        <w:tc>
          <w:tcPr>
            <w:tcW w:type="dxa" w:w="720"/>
            <w:shd w:fill="0033CC"/>
          </w:tcPr>
          <w:p>
            <w:pPr>
              <w:keepLines w:val="1"/>
              <w:keepNext w:val="1"/>
            </w:pPr>
            <w:r>
              <w:rPr>
                <w:b/>
                <w:color w:val="FFFFFF"/>
              </w:rPr>
              <w:t>ID Métrica</w:t>
            </w:r>
          </w:p>
        </w:tc>
        <w:tc>
          <w:tcPr>
            <w:tcW w:type="dxa" w:w="720"/>
            <w:shd w:fill="0033CC"/>
          </w:tcPr>
          <w:p>
            <w:pPr>
              <w:keepLines w:val="1"/>
              <w:keepNext w:val="1"/>
            </w:pPr>
            <w:r>
              <w:rPr>
                <w:b/>
                <w:color w:val="FFFFFF"/>
              </w:rPr>
              <w:t>Nombre</w:t>
            </w:r>
          </w:p>
        </w:tc>
        <w:tc>
          <w:tcPr>
            <w:tcW w:type="dxa" w:w="720"/>
            <w:shd w:fill="0033CC"/>
          </w:tcPr>
          <w:p>
            <w:pPr>
              <w:keepLines w:val="1"/>
              <w:keepNext w:val="1"/>
            </w:pPr>
            <w:r>
              <w:rPr>
                <w:b/>
                <w:color w:val="FFFFFF"/>
              </w:rPr>
              <w:t>NIS2</w:t>
            </w:r>
          </w:p>
        </w:tc>
        <w:tc>
          <w:tcPr>
            <w:tcW w:type="dxa" w:w="720"/>
            <w:shd w:fill="0033CC"/>
          </w:tcPr>
          <w:p>
            <w:pPr>
              <w:keepLines w:val="1"/>
              <w:keepNext w:val="1"/>
            </w:pPr>
            <w:r>
              <w:rPr>
                <w:b/>
                <w:color w:val="FFFFFF"/>
              </w:rPr>
              <w:t>ENS</w:t>
            </w:r>
          </w:p>
        </w:tc>
        <w:tc>
          <w:tcPr>
            <w:tcW w:type="dxa" w:w="720"/>
            <w:shd w:fill="0033CC"/>
          </w:tcPr>
          <w:p>
            <w:pPr>
              <w:keepLines w:val="1"/>
              <w:keepNext w:val="1"/>
            </w:pPr>
            <w:r>
              <w:rPr>
                <w:b/>
                <w:color w:val="FFFFFF"/>
              </w:rPr>
              <w:t>DORA</w:t>
            </w:r>
          </w:p>
        </w:tc>
        <w:tc>
          <w:tcPr>
            <w:tcW w:type="dxa" w:w="720"/>
            <w:shd w:fill="0033CC"/>
          </w:tcPr>
          <w:p>
            <w:pPr>
              <w:keepLines w:val="1"/>
              <w:keepNext w:val="1"/>
            </w:pPr>
            <w:r>
              <w:rPr>
                <w:b/>
                <w:color w:val="FFFFFF"/>
              </w:rPr>
              <w:t>GDPR</w:t>
            </w:r>
          </w:p>
        </w:tc>
        <w:tc>
          <w:tcPr>
            <w:tcW w:type="dxa" w:w="720"/>
            <w:shd w:fill="0033CC"/>
          </w:tcPr>
          <w:p>
            <w:pPr>
              <w:keepLines w:val="1"/>
              <w:keepNext w:val="1"/>
            </w:pPr>
            <w:r>
              <w:rPr>
                <w:b/>
                <w:color w:val="FFFFFF"/>
              </w:rPr>
              <w:t>ISO 27001:2022</w:t>
            </w:r>
          </w:p>
        </w:tc>
        <w:tc>
          <w:tcPr>
            <w:tcW w:type="dxa" w:w="720"/>
            <w:shd w:fill="0033CC"/>
          </w:tcPr>
          <w:p>
            <w:pPr>
              <w:keepLines w:val="1"/>
              <w:keepNext w:val="1"/>
            </w:pPr>
            <w:r>
              <w:rPr>
                <w:b/>
                <w:color w:val="FFFFFF"/>
              </w:rPr>
              <w:t>NIST CSF 2.0</w:t>
            </w:r>
          </w:p>
        </w:tc>
        <w:tc>
          <w:tcPr>
            <w:tcW w:type="dxa" w:w="720"/>
            <w:shd w:fill="0033CC"/>
          </w:tcPr>
          <w:p>
            <w:pPr>
              <w:keepLines w:val="1"/>
              <w:keepNext w:val="1"/>
            </w:pPr>
            <w:r>
              <w:rPr>
                <w:b/>
                <w:color w:val="FFFFFF"/>
              </w:rPr>
              <w:t>CRA</w:t>
            </w:r>
          </w:p>
        </w:tc>
        <w:tc>
          <w:tcPr>
            <w:tcW w:type="dxa" w:w="720"/>
            <w:shd w:fill="0033CC"/>
          </w:tcPr>
          <w:p>
            <w:pPr>
              <w:keepLines w:val="1"/>
              <w:keepNext w:val="1"/>
            </w:pPr>
            <w:r>
              <w:rPr>
                <w:b/>
                <w:color w:val="FFFFFF"/>
              </w:rPr>
              <w:t>IEC 62443</w:t>
            </w:r>
          </w:p>
        </w:tc>
        <w:tc>
          <w:tcPr>
            <w:tcW w:type="dxa" w:w="720"/>
            <w:shd w:fill="0033CC"/>
          </w:tcPr>
          <w:p>
            <w:pPr>
              <w:keepLines w:val="1"/>
              <w:keepNext w:val="1"/>
            </w:pPr>
            <w:r>
              <w:rPr>
                <w:b/>
                <w:color w:val="FFFFFF"/>
              </w:rPr>
              <w:t>INCIBE-IMC</w:t>
            </w:r>
          </w:p>
        </w:tc>
        <w:tc>
          <w:tcPr>
            <w:tcW w:type="dxa" w:w="720"/>
            <w:shd w:fill="0033CC"/>
          </w:tcPr>
          <w:p>
            <w:pPr>
              <w:keepLines w:val="1"/>
              <w:keepNext w:val="1"/>
            </w:pPr>
            <w:r>
              <w:rPr>
                <w:b/>
                <w:color w:val="FFFFFF"/>
              </w:rPr>
              <w:t>Tipo Req.</w:t>
            </w:r>
          </w:p>
        </w:tc>
        <w:tc>
          <w:tcPr>
            <w:tcW w:type="dxa" w:w="720"/>
            <w:shd w:fill="0033CC"/>
          </w:tcPr>
          <w:p>
            <w:pPr>
              <w:keepLines w:val="1"/>
              <w:keepNext w:val="1"/>
            </w:pPr>
            <w:r>
              <w:rPr>
                <w:b/>
                <w:color w:val="FFFFFF"/>
              </w:rPr>
              <w:t>Evidencia de auditoría</w:t>
            </w:r>
          </w:p>
        </w:tc>
      </w:tr>
      <w:tr>
        <w:trPr>
          <w:cantSplit w:val="1"/>
        </w:trPr>
        <w:tc>
          <w:tcPr>
            <w:tcW w:type="dxa" w:w="720"/>
          </w:tcPr>
          <w:p>
            <w:pPr>
              <w:keepLines w:val="1"/>
              <w:keepNext w:val="1"/>
            </w:pPr>
            <w:r>
              <w:t>E.M1</w:t>
            </w:r>
          </w:p>
        </w:tc>
        <w:tc>
          <w:tcPr>
            <w:tcW w:type="dxa" w:w="720"/>
          </w:tcPr>
          <w:p>
            <w:pPr>
              <w:keepLines w:val="1"/>
              <w:keepNext w:val="1"/>
            </w:pPr>
            <w:r>
              <w:t>SMEC CVSS v4.0</w:t>
            </w:r>
          </w:p>
        </w:tc>
        <w:tc>
          <w:tcPr>
            <w:tcW w:type="dxa" w:w="720"/>
          </w:tcPr>
          <w:p>
            <w:pPr>
              <w:keepLines w:val="1"/>
              <w:keepNext w:val="1"/>
            </w:pPr>
            <w:r>
              <w:t>Art.21.2.e (evaluación riesgos técnicos)</w:t>
            </w:r>
          </w:p>
        </w:tc>
        <w:tc>
          <w:tcPr>
            <w:tcW w:type="dxa" w:w="720"/>
          </w:tcPr>
          <w:p>
            <w:pPr>
              <w:keepLines w:val="1"/>
              <w:keepNext w:val="1"/>
            </w:pPr>
            <w:r>
              <w:t>Mp.sw.2 (severidad parches)</w:t>
            </w:r>
          </w:p>
        </w:tc>
        <w:tc>
          <w:tcPr>
            <w:tcW w:type="dxa" w:w="720"/>
          </w:tcPr>
          <w:p>
            <w:pPr>
              <w:keepLines w:val="1"/>
              <w:keepNext w:val="1"/>
            </w:pPr>
            <w:r>
              <w:t>Art.9.2 (evaluación riesgo TIC)</w:t>
            </w:r>
          </w:p>
        </w:tc>
        <w:tc>
          <w:tcPr>
            <w:tcW w:type="dxa" w:w="720"/>
          </w:tcPr>
          <w:p>
            <w:pPr>
              <w:keepLines w:val="1"/>
              <w:keepNext w:val="1"/>
            </w:pPr>
            <w:r>
              <w:t>—</w:t>
            </w:r>
          </w:p>
        </w:tc>
        <w:tc>
          <w:tcPr>
            <w:tcW w:type="dxa" w:w="720"/>
          </w:tcPr>
          <w:p>
            <w:pPr>
              <w:keepLines w:val="1"/>
              <w:keepNext w:val="1"/>
            </w:pPr>
            <w:r>
              <w:t>A.12.6.1 (scoring vulnerabilidades)</w:t>
            </w:r>
          </w:p>
        </w:tc>
        <w:tc>
          <w:tcPr>
            <w:tcW w:type="dxa" w:w="720"/>
          </w:tcPr>
          <w:p>
            <w:pPr>
              <w:keepLines w:val="1"/>
              <w:keepNext w:val="1"/>
            </w:pPr>
            <w:r>
              <w:t>ID.RA-1</w:t>
            </w:r>
          </w:p>
        </w:tc>
        <w:tc>
          <w:tcPr>
            <w:tcW w:type="dxa" w:w="720"/>
          </w:tcPr>
          <w:p>
            <w:pPr>
              <w:keepLines w:val="1"/>
              <w:keepNext w:val="1"/>
            </w:pPr>
            <w:r>
              <w:t>Art.13.2.b</w:t>
            </w:r>
          </w:p>
        </w:tc>
        <w:tc>
          <w:tcPr>
            <w:tcW w:type="dxa" w:w="720"/>
          </w:tcPr>
          <w:p>
            <w:pPr>
              <w:keepLines w:val="1"/>
              <w:keepNext w:val="1"/>
            </w:pPr>
            <w:r>
              <w:t>SR 2.2</w:t>
            </w:r>
          </w:p>
        </w:tc>
        <w:tc>
          <w:tcPr>
            <w:tcW w:type="dxa" w:w="720"/>
          </w:tcPr>
          <w:p>
            <w:pPr>
              <w:keepLines w:val="1"/>
              <w:keepNext w:val="1"/>
            </w:pPr>
            <w:r>
              <w:t>IMC-V1</w:t>
            </w:r>
          </w:p>
        </w:tc>
        <w:tc>
          <w:tcPr>
            <w:tcW w:type="dxa" w:w="720"/>
          </w:tcPr>
          <w:p>
            <w:pPr>
              <w:keepLines w:val="1"/>
              <w:keepNext w:val="1"/>
            </w:pPr>
            <w:r>
              <w:t>Recomendado</w:t>
            </w:r>
          </w:p>
        </w:tc>
        <w:tc>
          <w:tcPr>
            <w:tcW w:type="dxa" w:w="720"/>
          </w:tcPr>
          <w:p>
            <w:pPr>
              <w:keepLines w:val="1"/>
              <w:keepNext w:val="1"/>
            </w:pPr>
            <w:r>
              <w:t>Informes VM con CVSS scores de vulnerabilidades activas; distribución por niveles de severidad; tendencia trimestral</w:t>
            </w:r>
          </w:p>
        </w:tc>
      </w:tr>
      <w:tr>
        <w:trPr>
          <w:cantSplit w:val="1"/>
        </w:trPr>
        <w:tc>
          <w:tcPr>
            <w:tcW w:type="dxa" w:w="720"/>
          </w:tcPr>
          <w:p>
            <w:pPr>
              <w:keepLines w:val="1"/>
              <w:keepNext w:val="1"/>
            </w:pPr>
            <w:r>
              <w:t>E.M2</w:t>
            </w:r>
          </w:p>
        </w:tc>
        <w:tc>
          <w:tcPr>
            <w:tcW w:type="dxa" w:w="720"/>
          </w:tcPr>
          <w:p>
            <w:pPr>
              <w:keepLines w:val="1"/>
              <w:keepNext w:val="1"/>
            </w:pPr>
            <w:r>
              <w:t>TCKEV (CISA KEV)</w:t>
            </w:r>
          </w:p>
        </w:tc>
        <w:tc>
          <w:tcPr>
            <w:tcW w:type="dxa" w:w="720"/>
          </w:tcPr>
          <w:p>
            <w:pPr>
              <w:keepLines w:val="1"/>
              <w:keepNext w:val="1"/>
            </w:pPr>
            <w:r>
              <w:t>Art.21.2.e + Art.21.3 (medidas apropiadas, KEV como evidencia)</w:t>
            </w:r>
          </w:p>
        </w:tc>
        <w:tc>
          <w:tcPr>
            <w:tcW w:type="dxa" w:w="720"/>
          </w:tcPr>
          <w:p>
            <w:pPr>
              <w:keepLines w:val="1"/>
              <w:keepNext w:val="1"/>
            </w:pPr>
            <w:r>
              <w:t>Mp.sw.2 (parches críticos)</w:t>
            </w:r>
          </w:p>
        </w:tc>
        <w:tc>
          <w:tcPr>
            <w:tcW w:type="dxa" w:w="720"/>
          </w:tcPr>
          <w:p>
            <w:pPr>
              <w:keepLines w:val="1"/>
              <w:keepNext w:val="1"/>
            </w:pPr>
            <w:r>
              <w:t>Art.9.2</w:t>
            </w:r>
          </w:p>
        </w:tc>
        <w:tc>
          <w:tcPr>
            <w:tcW w:type="dxa" w:w="720"/>
          </w:tcPr>
          <w:p>
            <w:pPr>
              <w:keepLines w:val="1"/>
              <w:keepNext w:val="1"/>
            </w:pPr>
            <w:r>
              <w:t>—</w:t>
            </w:r>
          </w:p>
        </w:tc>
        <w:tc>
          <w:tcPr>
            <w:tcW w:type="dxa" w:w="720"/>
          </w:tcPr>
          <w:p>
            <w:pPr>
              <w:keepLines w:val="1"/>
              <w:keepNext w:val="1"/>
            </w:pPr>
            <w:r>
              <w:t>A.12.6.1</w:t>
            </w:r>
          </w:p>
        </w:tc>
        <w:tc>
          <w:tcPr>
            <w:tcW w:type="dxa" w:w="720"/>
          </w:tcPr>
          <w:p>
            <w:pPr>
              <w:keepLines w:val="1"/>
              <w:keepNext w:val="1"/>
            </w:pPr>
            <w:r>
              <w:t>PR.IP-12 (gestión vulnerabilidades)</w:t>
            </w:r>
          </w:p>
        </w:tc>
        <w:tc>
          <w:tcPr>
            <w:tcW w:type="dxa" w:w="720"/>
          </w:tcPr>
          <w:p>
            <w:pPr>
              <w:keepLines w:val="1"/>
              <w:keepNext w:val="1"/>
            </w:pPr>
            <w:r>
              <w:t>Art.13.2.c</w:t>
            </w:r>
          </w:p>
        </w:tc>
        <w:tc>
          <w:tcPr>
            <w:tcW w:type="dxa" w:w="720"/>
          </w:tcPr>
          <w:p>
            <w:pPr>
              <w:keepLines w:val="1"/>
              <w:keepNext w:val="1"/>
            </w:pPr>
            <w:r>
              <w:t>SR 2.2</w:t>
            </w:r>
          </w:p>
        </w:tc>
        <w:tc>
          <w:tcPr>
            <w:tcW w:type="dxa" w:w="720"/>
          </w:tcPr>
          <w:p>
            <w:pPr>
              <w:keepLines w:val="1"/>
              <w:keepNext w:val="1"/>
            </w:pPr>
            <w:r>
              <w:t>IMC-V2</w:t>
            </w:r>
          </w:p>
        </w:tc>
        <w:tc>
          <w:tcPr>
            <w:tcW w:type="dxa" w:w="720"/>
          </w:tcPr>
          <w:p>
            <w:pPr>
              <w:keepLines w:val="1"/>
              <w:keepNext w:val="1"/>
            </w:pPr>
            <w:r>
              <w:t>Obligatorio de facto (NIS2 Art.21.3: "estado del arte")</w:t>
            </w:r>
          </w:p>
        </w:tc>
        <w:tc>
          <w:tcPr>
            <w:tcW w:type="dxa" w:w="720"/>
          </w:tcPr>
          <w:p>
            <w:pPr>
              <w:keepLines w:val="1"/>
              <w:keepNext w:val="1"/>
            </w:pPr>
            <w:r>
              <w:t>Cruce diario del inventario de vulnerabilidades activas contra CISA KEV; evidencia de remediación inmediata de coincidencias; registro auditado</w:t>
            </w:r>
          </w:p>
        </w:tc>
      </w:tr>
      <w:tr>
        <w:trPr>
          <w:cantSplit w:val="1"/>
        </w:trPr>
        <w:tc>
          <w:tcPr>
            <w:tcW w:type="dxa" w:w="720"/>
          </w:tcPr>
          <w:p>
            <w:pPr>
              <w:keepLines w:val="1"/>
              <w:keepNext w:val="1"/>
            </w:pPr>
            <w:r>
              <w:t>E.M3</w:t>
            </w:r>
          </w:p>
        </w:tc>
        <w:tc>
          <w:tcPr>
            <w:tcW w:type="dxa" w:w="720"/>
          </w:tcPr>
          <w:p>
            <w:pPr>
              <w:keepLines w:val="1"/>
              <w:keepNext w:val="1"/>
            </w:pPr>
            <w:r>
              <w:t>DREAD-E LLM</w:t>
            </w:r>
          </w:p>
        </w:tc>
        <w:tc>
          <w:tcPr>
            <w:tcW w:type="dxa" w:w="720"/>
          </w:tcPr>
          <w:p>
            <w:pPr>
              <w:keepLines w:val="1"/>
              <w:keepNext w:val="1"/>
            </w:pPr>
            <w:r>
              <w:t>Art.21.2.e (nuevos vectores de amenaza)</w:t>
            </w:r>
          </w:p>
        </w:tc>
        <w:tc>
          <w:tcPr>
            <w:tcW w:type="dxa" w:w="720"/>
          </w:tcPr>
          <w:p>
            <w:pPr>
              <w:keepLines w:val="1"/>
              <w:keepNext w:val="1"/>
            </w:pPr>
            <w:r>
              <w:t>—</w:t>
            </w:r>
          </w:p>
        </w:tc>
        <w:tc>
          <w:tcPr>
            <w:tcW w:type="dxa" w:w="720"/>
          </w:tcPr>
          <w:p>
            <w:pPr>
              <w:keepLines w:val="1"/>
              <w:keepNext w:val="1"/>
            </w:pPr>
            <w:r>
              <w:t>Art.9.3 (evaluación avanzada de amenazas)</w:t>
            </w:r>
          </w:p>
        </w:tc>
        <w:tc>
          <w:tcPr>
            <w:tcW w:type="dxa" w:w="720"/>
          </w:tcPr>
          <w:p>
            <w:pPr>
              <w:keepLines w:val="1"/>
              <w:keepNext w:val="1"/>
            </w:pPr>
            <w:r>
              <w:t>Art.25 (privacy by design en sistemas IA)</w:t>
            </w:r>
          </w:p>
        </w:tc>
        <w:tc>
          <w:tcPr>
            <w:tcW w:type="dxa" w:w="720"/>
          </w:tcPr>
          <w:p>
            <w:pPr>
              <w:keepLines w:val="1"/>
              <w:keepNext w:val="1"/>
            </w:pPr>
            <w:r>
              <w:t>A.6.1.4 (inteligencia de amenazas emergentes)</w:t>
            </w:r>
          </w:p>
        </w:tc>
        <w:tc>
          <w:tcPr>
            <w:tcW w:type="dxa" w:w="720"/>
          </w:tcPr>
          <w:p>
            <w:pPr>
              <w:keepLines w:val="1"/>
              <w:keepNext w:val="1"/>
            </w:pPr>
            <w:r>
              <w:t>ID.RA-3 (nuevos vectores)</w:t>
            </w:r>
          </w:p>
        </w:tc>
        <w:tc>
          <w:tcPr>
            <w:tcW w:type="dxa" w:w="720"/>
          </w:tcPr>
          <w:p>
            <w:pPr>
              <w:keepLines w:val="1"/>
              <w:keepNext w:val="1"/>
            </w:pPr>
            <w:r>
              <w:t>Art.13 (seguridad por diseño en productos digitales)</w:t>
            </w:r>
          </w:p>
        </w:tc>
        <w:tc>
          <w:tcPr>
            <w:tcW w:type="dxa" w:w="720"/>
          </w:tcPr>
          <w:p>
            <w:pPr>
              <w:keepLines w:val="1"/>
              <w:keepNext w:val="1"/>
            </w:pPr>
            <w:r>
              <w:t>—</w:t>
            </w:r>
          </w:p>
        </w:tc>
        <w:tc>
          <w:tcPr>
            <w:tcW w:type="dxa" w:w="720"/>
          </w:tcPr>
          <w:p>
            <w:pPr>
              <w:keepLines w:val="1"/>
              <w:keepNext w:val="1"/>
            </w:pPr>
            <w:r>
              <w:t>IMC-TI2</w:t>
            </w:r>
          </w:p>
        </w:tc>
        <w:tc>
          <w:tcPr>
            <w:tcW w:type="dxa" w:w="720"/>
          </w:tcPr>
          <w:p>
            <w:pPr>
              <w:keepLines w:val="1"/>
              <w:keepNext w:val="1"/>
            </w:pPr>
            <w:r>
              <w:t>Recomendado</w:t>
            </w:r>
          </w:p>
        </w:tc>
        <w:tc>
          <w:tcPr>
            <w:tcW w:type="dxa" w:w="720"/>
          </w:tcPr>
          <w:p>
            <w:pPr>
              <w:keepLines w:val="1"/>
              <w:keepNext w:val="1"/>
            </w:pPr>
            <w:r>
              <w:t>Informe de red team LLM/IA con scores DREAD-E para cada vector de ataque identificado; plan de mitigación</w:t>
            </w:r>
          </w:p>
        </w:tc>
      </w:tr>
      <w:tr>
        <w:trPr>
          <w:cantSplit w:val="1"/>
        </w:trPr>
        <w:tc>
          <w:tcPr>
            <w:tcW w:type="dxa" w:w="720"/>
          </w:tcPr>
          <w:p>
            <w:pPr>
              <w:keepLines w:val="1"/>
              <w:keepNext w:val="1"/>
            </w:pPr>
            <w:r>
              <w:t>E.M4</w:t>
            </w:r>
          </w:p>
        </w:tc>
        <w:tc>
          <w:tcPr>
            <w:tcW w:type="dxa" w:w="720"/>
          </w:tcPr>
          <w:p>
            <w:pPr>
              <w:keepLines w:val="1"/>
              <w:keepNext w:val="1"/>
            </w:pPr>
            <w:r>
              <w:t>TMCE</w:t>
            </w:r>
          </w:p>
        </w:tc>
        <w:tc>
          <w:tcPr>
            <w:tcW w:type="dxa" w:w="720"/>
          </w:tcPr>
          <w:p>
            <w:pPr>
              <w:keepLines w:val="1"/>
              <w:keepNext w:val="1"/>
            </w:pPr>
            <w:r>
              <w:t>Art.21.2.b (detección y respuesta a incidentes)</w:t>
            </w:r>
          </w:p>
        </w:tc>
        <w:tc>
          <w:tcPr>
            <w:tcW w:type="dxa" w:w="720"/>
          </w:tcPr>
          <w:p>
            <w:pPr>
              <w:keepLines w:val="1"/>
              <w:keepNext w:val="1"/>
            </w:pPr>
            <w:r>
              <w:t>Op.exp.5 (gestión de incidentes)</w:t>
            </w:r>
          </w:p>
        </w:tc>
        <w:tc>
          <w:tcPr>
            <w:tcW w:type="dxa" w:w="720"/>
          </w:tcPr>
          <w:p>
            <w:pPr>
              <w:keepLines w:val="1"/>
              <w:keepNext w:val="1"/>
            </w:pPr>
            <w:r>
              <w:t>Art.19.4 (alerta temprana)</w:t>
            </w:r>
          </w:p>
        </w:tc>
        <w:tc>
          <w:tcPr>
            <w:tcW w:type="dxa" w:w="720"/>
          </w:tcPr>
          <w:p>
            <w:pPr>
              <w:keepLines w:val="1"/>
              <w:keepNext w:val="1"/>
            </w:pPr>
            <w:r>
              <w:t>—</w:t>
            </w:r>
          </w:p>
        </w:tc>
        <w:tc>
          <w:tcPr>
            <w:tcW w:type="dxa" w:w="720"/>
          </w:tcPr>
          <w:p>
            <w:pPr>
              <w:keepLines w:val="1"/>
              <w:keepNext w:val="1"/>
            </w:pPr>
            <w:r>
              <w:t>A.16.1.5 (respuesta a incidentes)</w:t>
            </w:r>
          </w:p>
        </w:tc>
        <w:tc>
          <w:tcPr>
            <w:tcW w:type="dxa" w:w="720"/>
          </w:tcPr>
          <w:p>
            <w:pPr>
              <w:keepLines w:val="1"/>
              <w:keepNext w:val="1"/>
            </w:pPr>
            <w:r>
              <w:t>RS.AN-3 (análisis incidentes)</w:t>
            </w:r>
          </w:p>
        </w:tc>
        <w:tc>
          <w:tcPr>
            <w:tcW w:type="dxa" w:w="720"/>
          </w:tcPr>
          <w:p>
            <w:pPr>
              <w:keepLines w:val="1"/>
              <w:keepNext w:val="1"/>
            </w:pPr>
            <w:r>
              <w:t>—</w:t>
            </w:r>
          </w:p>
        </w:tc>
        <w:tc>
          <w:tcPr>
            <w:tcW w:type="dxa" w:w="720"/>
          </w:tcPr>
          <w:p>
            <w:pPr>
              <w:keepLines w:val="1"/>
              <w:keepNext w:val="1"/>
            </w:pPr>
            <w:r>
              <w:t>SR 6.2 (respuesta a incidentes)</w:t>
            </w:r>
          </w:p>
        </w:tc>
        <w:tc>
          <w:tcPr>
            <w:tcW w:type="dxa" w:w="720"/>
          </w:tcPr>
          <w:p>
            <w:pPr>
              <w:keepLines w:val="1"/>
              <w:keepNext w:val="1"/>
            </w:pPr>
            <w:r>
              <w:t>IMC-D2</w:t>
            </w:r>
          </w:p>
        </w:tc>
        <w:tc>
          <w:tcPr>
            <w:tcW w:type="dxa" w:w="720"/>
          </w:tcPr>
          <w:p>
            <w:pPr>
              <w:keepLines w:val="1"/>
              <w:keepNext w:val="1"/>
            </w:pPr>
            <w:r>
              <w:t>Obligatorio (NIS2/DORA)</w:t>
            </w:r>
          </w:p>
        </w:tc>
        <w:tc>
          <w:tcPr>
            <w:tcW w:type="dxa" w:w="720"/>
          </w:tcPr>
          <w:p>
            <w:pPr>
              <w:keepLines w:val="1"/>
              <w:keepNext w:val="1"/>
            </w:pPr>
            <w:r>
              <w:t>Log SIEM/SOAR con timestamps de detección, alerta y contención; comparativa con SLAs definidos; informe mensual al CISO</w:t>
            </w:r>
          </w:p>
        </w:tc>
      </w:tr>
      <w:tr>
        <w:trPr>
          <w:cantSplit w:val="1"/>
        </w:trPr>
        <w:tc>
          <w:tcPr>
            <w:tcW w:type="dxa" w:w="720"/>
          </w:tcPr>
          <w:p>
            <w:pPr>
              <w:keepLines w:val="1"/>
            </w:pPr>
            <w:r>
              <w:t>E.M5</w:t>
            </w:r>
          </w:p>
        </w:tc>
        <w:tc>
          <w:tcPr>
            <w:tcW w:type="dxa" w:w="720"/>
          </w:tcPr>
          <w:p>
            <w:pPr>
              <w:keepLines w:val="1"/>
            </w:pPr>
            <w:r>
              <w:t>ICCAE</w:t>
            </w:r>
          </w:p>
        </w:tc>
        <w:tc>
          <w:tcPr>
            <w:tcW w:type="dxa" w:w="720"/>
          </w:tcPr>
          <w:p>
            <w:pPr>
              <w:keepLines w:val="1"/>
            </w:pPr>
            <w:r>
              <w:t>Art.21.2.g (autenticación, acceso privilegiado)</w:t>
            </w:r>
          </w:p>
        </w:tc>
        <w:tc>
          <w:tcPr>
            <w:tcW w:type="dxa" w:w="720"/>
          </w:tcPr>
          <w:p>
            <w:pPr>
              <w:keepLines w:val="1"/>
            </w:pPr>
            <w:r>
              <w:t>Mp.if.7 (segmentación), Mp.si.3 (MFA)</w:t>
            </w:r>
          </w:p>
        </w:tc>
        <w:tc>
          <w:tcPr>
            <w:tcW w:type="dxa" w:w="720"/>
          </w:tcPr>
          <w:p>
            <w:pPr>
              <w:keepLines w:val="1"/>
            </w:pPr>
            <w:r>
              <w:t>Art.9.3 (controles de acceso TIC)</w:t>
            </w:r>
          </w:p>
        </w:tc>
        <w:tc>
          <w:tcPr>
            <w:tcW w:type="dxa" w:w="720"/>
          </w:tcPr>
          <w:p>
            <w:pPr>
              <w:keepLines w:val="1"/>
            </w:pPr>
            <w:r>
              <w:t>Art.32.1.a (medidas técnicas)</w:t>
            </w:r>
          </w:p>
        </w:tc>
        <w:tc>
          <w:tcPr>
            <w:tcW w:type="dxa" w:w="720"/>
          </w:tcPr>
          <w:p>
            <w:pPr>
              <w:keepLines w:val="1"/>
            </w:pPr>
            <w:r>
              <w:t>A.9.1.2 (control de acceso), A.13.1 (segmentación)</w:t>
            </w:r>
          </w:p>
        </w:tc>
        <w:tc>
          <w:tcPr>
            <w:tcW w:type="dxa" w:w="720"/>
          </w:tcPr>
          <w:p>
            <w:pPr>
              <w:keepLines w:val="1"/>
            </w:pPr>
            <w:r>
              <w:t>PR.AC (Protect.Identity Mgmt)</w:t>
            </w:r>
          </w:p>
        </w:tc>
        <w:tc>
          <w:tcPr>
            <w:tcW w:type="dxa" w:w="720"/>
          </w:tcPr>
          <w:p>
            <w:pPr>
              <w:keepLines w:val="1"/>
            </w:pPr>
            <w:r>
              <w:t>Art.13.2.d (controles de seguridad)</w:t>
            </w:r>
          </w:p>
        </w:tc>
        <w:tc>
          <w:tcPr>
            <w:tcW w:type="dxa" w:w="720"/>
          </w:tcPr>
          <w:p>
            <w:pPr>
              <w:keepLines w:val="1"/>
            </w:pPr>
            <w:r>
              <w:t>SR 2.1 (denegación de acceso no autorizado)</w:t>
            </w:r>
          </w:p>
        </w:tc>
        <w:tc>
          <w:tcPr>
            <w:tcW w:type="dxa" w:w="720"/>
          </w:tcPr>
          <w:p>
            <w:pPr>
              <w:keepLines w:val="1"/>
            </w:pPr>
            <w:r>
              <w:t>IMC-C1</w:t>
            </w:r>
          </w:p>
        </w:tc>
        <w:tc>
          <w:tcPr>
            <w:tcW w:type="dxa" w:w="720"/>
          </w:tcPr>
          <w:p>
            <w:pPr>
              <w:keepLines w:val="1"/>
            </w:pPr>
            <w:r>
              <w:t>Obligatorio (NIS2/ENS/DORA)</w:t>
            </w:r>
          </w:p>
        </w:tc>
        <w:tc>
          <w:tcPr>
            <w:tcW w:type="dxa" w:w="720"/>
          </w:tcPr>
          <w:p>
            <w:pPr>
              <w:keepLines w:val="1"/>
            </w:pPr>
            <w:r>
              <w:t>Inventario de activos con estado de implementación de controles (MFA, PAM, micro-segmentación); resultados de auditoría de configuración; cobertura por tier</w:t>
            </w:r>
          </w:p>
        </w:tc>
      </w:tr>
    </w:tbl>
    <w:p/>
    <w:p>
      <w:pPr>
        <w:pStyle w:val="Heading3"/>
        <w:keepNext/>
        <w:keepLines/>
      </w:pPr>
      <w:r>
        <w:t>DIMENSIÓN A — USUARIOS AFECTADOS</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rPr>
          <w:cantSplit w:val="1"/>
        </w:trPr>
        <w:tc>
          <w:tcPr>
            <w:tcW w:type="dxa" w:w="720"/>
            <w:shd w:fill="0033CC"/>
          </w:tcPr>
          <w:p>
            <w:pPr>
              <w:keepLines w:val="1"/>
              <w:keepNext w:val="1"/>
            </w:pPr>
            <w:r>
              <w:rPr>
                <w:b/>
                <w:color w:val="FFFFFF"/>
              </w:rPr>
              <w:t>ID Métrica</w:t>
            </w:r>
          </w:p>
        </w:tc>
        <w:tc>
          <w:tcPr>
            <w:tcW w:type="dxa" w:w="720"/>
            <w:shd w:fill="0033CC"/>
          </w:tcPr>
          <w:p>
            <w:pPr>
              <w:keepLines w:val="1"/>
              <w:keepNext w:val="1"/>
            </w:pPr>
            <w:r>
              <w:rPr>
                <w:b/>
                <w:color w:val="FFFFFF"/>
              </w:rPr>
              <w:t>Nombre</w:t>
            </w:r>
          </w:p>
        </w:tc>
        <w:tc>
          <w:tcPr>
            <w:tcW w:type="dxa" w:w="720"/>
            <w:shd w:fill="0033CC"/>
          </w:tcPr>
          <w:p>
            <w:pPr>
              <w:keepLines w:val="1"/>
              <w:keepNext w:val="1"/>
            </w:pPr>
            <w:r>
              <w:rPr>
                <w:b/>
                <w:color w:val="FFFFFF"/>
              </w:rPr>
              <w:t>NIS2</w:t>
            </w:r>
          </w:p>
        </w:tc>
        <w:tc>
          <w:tcPr>
            <w:tcW w:type="dxa" w:w="720"/>
            <w:shd w:fill="0033CC"/>
          </w:tcPr>
          <w:p>
            <w:pPr>
              <w:keepLines w:val="1"/>
              <w:keepNext w:val="1"/>
            </w:pPr>
            <w:r>
              <w:rPr>
                <w:b/>
                <w:color w:val="FFFFFF"/>
              </w:rPr>
              <w:t>ENS</w:t>
            </w:r>
          </w:p>
        </w:tc>
        <w:tc>
          <w:tcPr>
            <w:tcW w:type="dxa" w:w="720"/>
            <w:shd w:fill="0033CC"/>
          </w:tcPr>
          <w:p>
            <w:pPr>
              <w:keepLines w:val="1"/>
              <w:keepNext w:val="1"/>
            </w:pPr>
            <w:r>
              <w:rPr>
                <w:b/>
                <w:color w:val="FFFFFF"/>
              </w:rPr>
              <w:t>DORA</w:t>
            </w:r>
          </w:p>
        </w:tc>
        <w:tc>
          <w:tcPr>
            <w:tcW w:type="dxa" w:w="720"/>
            <w:shd w:fill="0033CC"/>
          </w:tcPr>
          <w:p>
            <w:pPr>
              <w:keepLines w:val="1"/>
              <w:keepNext w:val="1"/>
            </w:pPr>
            <w:r>
              <w:rPr>
                <w:b/>
                <w:color w:val="FFFFFF"/>
              </w:rPr>
              <w:t>GDPR</w:t>
            </w:r>
          </w:p>
        </w:tc>
        <w:tc>
          <w:tcPr>
            <w:tcW w:type="dxa" w:w="720"/>
            <w:shd w:fill="0033CC"/>
          </w:tcPr>
          <w:p>
            <w:pPr>
              <w:keepLines w:val="1"/>
              <w:keepNext w:val="1"/>
            </w:pPr>
            <w:r>
              <w:rPr>
                <w:b/>
                <w:color w:val="FFFFFF"/>
              </w:rPr>
              <w:t>ISO 27001:2022</w:t>
            </w:r>
          </w:p>
        </w:tc>
        <w:tc>
          <w:tcPr>
            <w:tcW w:type="dxa" w:w="720"/>
            <w:shd w:fill="0033CC"/>
          </w:tcPr>
          <w:p>
            <w:pPr>
              <w:keepLines w:val="1"/>
              <w:keepNext w:val="1"/>
            </w:pPr>
            <w:r>
              <w:rPr>
                <w:b/>
                <w:color w:val="FFFFFF"/>
              </w:rPr>
              <w:t>NIST CSF 2.0</w:t>
            </w:r>
          </w:p>
        </w:tc>
        <w:tc>
          <w:tcPr>
            <w:tcW w:type="dxa" w:w="720"/>
            <w:shd w:fill="0033CC"/>
          </w:tcPr>
          <w:p>
            <w:pPr>
              <w:keepLines w:val="1"/>
              <w:keepNext w:val="1"/>
            </w:pPr>
            <w:r>
              <w:rPr>
                <w:b/>
                <w:color w:val="FFFFFF"/>
              </w:rPr>
              <w:t>CRA</w:t>
            </w:r>
          </w:p>
        </w:tc>
        <w:tc>
          <w:tcPr>
            <w:tcW w:type="dxa" w:w="720"/>
            <w:shd w:fill="0033CC"/>
          </w:tcPr>
          <w:p>
            <w:pPr>
              <w:keepLines w:val="1"/>
              <w:keepNext w:val="1"/>
            </w:pPr>
            <w:r>
              <w:rPr>
                <w:b/>
                <w:color w:val="FFFFFF"/>
              </w:rPr>
              <w:t>MAGERIT v3</w:t>
            </w:r>
          </w:p>
        </w:tc>
        <w:tc>
          <w:tcPr>
            <w:tcW w:type="dxa" w:w="720"/>
            <w:shd w:fill="0033CC"/>
          </w:tcPr>
          <w:p>
            <w:pPr>
              <w:keepLines w:val="1"/>
              <w:keepNext w:val="1"/>
            </w:pPr>
            <w:r>
              <w:rPr>
                <w:b/>
                <w:color w:val="FFFFFF"/>
              </w:rPr>
              <w:t>INCIBE-IMC</w:t>
            </w:r>
          </w:p>
        </w:tc>
        <w:tc>
          <w:tcPr>
            <w:tcW w:type="dxa" w:w="720"/>
            <w:shd w:fill="0033CC"/>
          </w:tcPr>
          <w:p>
            <w:pPr>
              <w:keepLines w:val="1"/>
              <w:keepNext w:val="1"/>
            </w:pPr>
            <w:r>
              <w:rPr>
                <w:b/>
                <w:color w:val="FFFFFF"/>
              </w:rPr>
              <w:t>Tipo Req.</w:t>
            </w:r>
          </w:p>
        </w:tc>
        <w:tc>
          <w:tcPr>
            <w:tcW w:type="dxa" w:w="720"/>
            <w:shd w:fill="0033CC"/>
          </w:tcPr>
          <w:p>
            <w:pPr>
              <w:keepLines w:val="1"/>
              <w:keepNext w:val="1"/>
            </w:pPr>
            <w:r>
              <w:rPr>
                <w:b/>
                <w:color w:val="FFFFFF"/>
              </w:rPr>
              <w:t>Evidencia de auditoría</w:t>
            </w:r>
          </w:p>
        </w:tc>
      </w:tr>
      <w:tr>
        <w:trPr>
          <w:cantSplit w:val="1"/>
        </w:trPr>
        <w:tc>
          <w:tcPr>
            <w:tcW w:type="dxa" w:w="720"/>
          </w:tcPr>
          <w:p>
            <w:pPr>
              <w:keepLines w:val="1"/>
              <w:keepNext w:val="1"/>
            </w:pPr>
            <w:r>
              <w:t>A.M1</w:t>
            </w:r>
          </w:p>
        </w:tc>
        <w:tc>
          <w:tcPr>
            <w:tcW w:type="dxa" w:w="720"/>
          </w:tcPr>
          <w:p>
            <w:pPr>
              <w:keepLines w:val="1"/>
              <w:keepNext w:val="1"/>
            </w:pPr>
            <w:r>
              <w:t>UMPA</w:t>
            </w:r>
          </w:p>
        </w:tc>
        <w:tc>
          <w:tcPr>
            <w:tcW w:type="dxa" w:w="720"/>
          </w:tcPr>
          <w:p>
            <w:pPr>
              <w:keepLines w:val="1"/>
              <w:keepNext w:val="1"/>
            </w:pPr>
            <w:r>
              <w:t>Art.23.3 (criterios de "gran magnitud": &gt;50.000 usuarios)</w:t>
            </w:r>
          </w:p>
        </w:tc>
        <w:tc>
          <w:tcPr>
            <w:tcW w:type="dxa" w:w="720"/>
          </w:tcPr>
          <w:p>
            <w:pPr>
              <w:keepLines w:val="1"/>
              <w:keepNext w:val="1"/>
            </w:pPr>
            <w:r>
              <w:t>—</w:t>
            </w:r>
          </w:p>
        </w:tc>
        <w:tc>
          <w:tcPr>
            <w:tcW w:type="dxa" w:w="720"/>
          </w:tcPr>
          <w:p>
            <w:pPr>
              <w:keepLines w:val="1"/>
              <w:keepNext w:val="1"/>
            </w:pPr>
            <w:r>
              <w:t>Art.19.3 (umbral notificación)</w:t>
            </w:r>
          </w:p>
        </w:tc>
        <w:tc>
          <w:tcPr>
            <w:tcW w:type="dxa" w:w="720"/>
          </w:tcPr>
          <w:p>
            <w:pPr>
              <w:keepLines w:val="1"/>
              <w:keepNext w:val="1"/>
            </w:pPr>
            <w:r>
              <w:t>Art.33.1 (umbral notificación significativa)</w:t>
            </w:r>
          </w:p>
        </w:tc>
        <w:tc>
          <w:tcPr>
            <w:tcW w:type="dxa" w:w="720"/>
          </w:tcPr>
          <w:p>
            <w:pPr>
              <w:keepLines w:val="1"/>
              <w:keepNext w:val="1"/>
            </w:pPr>
            <w:r>
              <w:t>A.17.1.1 (alcance del BCP)</w:t>
            </w:r>
          </w:p>
        </w:tc>
        <w:tc>
          <w:tcPr>
            <w:tcW w:type="dxa" w:w="720"/>
          </w:tcPr>
          <w:p>
            <w:pPr>
              <w:keepLines w:val="1"/>
              <w:keepNext w:val="1"/>
            </w:pPr>
            <w:r>
              <w:t>ID.AM-2 (alcance de impacto)</w:t>
            </w:r>
          </w:p>
        </w:tc>
        <w:tc>
          <w:tcPr>
            <w:tcW w:type="dxa" w:w="720"/>
          </w:tcPr>
          <w:p>
            <w:pPr>
              <w:keepLines w:val="1"/>
              <w:keepNext w:val="1"/>
            </w:pPr>
            <w:r>
              <w:t>Art.13.2 (impacto en usuarios)</w:t>
            </w:r>
          </w:p>
        </w:tc>
        <w:tc>
          <w:tcPr>
            <w:tcW w:type="dxa" w:w="720"/>
          </w:tcPr>
          <w:p>
            <w:pPr>
              <w:keepLines w:val="1"/>
              <w:keepNext w:val="1"/>
            </w:pPr>
            <w:r>
              <w:t>Fase 3 (valoración de impacto)</w:t>
            </w:r>
          </w:p>
        </w:tc>
        <w:tc>
          <w:tcPr>
            <w:tcW w:type="dxa" w:w="720"/>
          </w:tcPr>
          <w:p>
            <w:pPr>
              <w:keepLines w:val="1"/>
              <w:keepNext w:val="1"/>
            </w:pPr>
            <w:r>
              <w:t>IMC-I1</w:t>
            </w:r>
          </w:p>
        </w:tc>
        <w:tc>
          <w:tcPr>
            <w:tcW w:type="dxa" w:w="720"/>
          </w:tcPr>
          <w:p>
            <w:pPr>
              <w:keepLines w:val="1"/>
              <w:keepNext w:val="1"/>
            </w:pPr>
            <w:r>
              <w:t>Obligatorio (NIS2 Art.23.3)</w:t>
            </w:r>
          </w:p>
        </w:tc>
        <w:tc>
          <w:tcPr>
            <w:tcW w:type="dxa" w:w="720"/>
          </w:tcPr>
          <w:p>
            <w:pPr>
              <w:keepLines w:val="1"/>
              <w:keepNext w:val="1"/>
            </w:pPr>
            <w:r>
              <w:t>Base de datos de usuarios del servicio crítico con cifras actualizadas; mapeado de dependencias de servicio; validación por responsable del servicio</w:t>
            </w:r>
          </w:p>
        </w:tc>
      </w:tr>
      <w:tr>
        <w:trPr>
          <w:cantSplit w:val="1"/>
        </w:trPr>
        <w:tc>
          <w:tcPr>
            <w:tcW w:type="dxa" w:w="720"/>
          </w:tcPr>
          <w:p>
            <w:pPr>
              <w:keepLines w:val="1"/>
              <w:keepNext w:val="1"/>
            </w:pPr>
            <w:r>
              <w:t>A.M2</w:t>
            </w:r>
          </w:p>
        </w:tc>
        <w:tc>
          <w:tcPr>
            <w:tcW w:type="dxa" w:w="720"/>
          </w:tcPr>
          <w:p>
            <w:pPr>
              <w:keepLines w:val="1"/>
              <w:keepNext w:val="1"/>
            </w:pPr>
            <w:r>
              <w:t>IUVA</w:t>
            </w:r>
          </w:p>
        </w:tc>
        <w:tc>
          <w:tcPr>
            <w:tcW w:type="dxa" w:w="720"/>
          </w:tcPr>
          <w:p>
            <w:pPr>
              <w:keepLines w:val="1"/>
              <w:keepNext w:val="1"/>
            </w:pPr>
            <w:r>
              <w:t>—</w:t>
            </w:r>
          </w:p>
        </w:tc>
        <w:tc>
          <w:tcPr>
            <w:tcW w:type="dxa" w:w="720"/>
          </w:tcPr>
          <w:p>
            <w:pPr>
              <w:keepLines w:val="1"/>
              <w:keepNext w:val="1"/>
            </w:pPr>
            <w:r>
              <w:t>—</w:t>
            </w:r>
          </w:p>
        </w:tc>
        <w:tc>
          <w:tcPr>
            <w:tcW w:type="dxa" w:w="720"/>
          </w:tcPr>
          <w:p>
            <w:pPr>
              <w:keepLines w:val="1"/>
              <w:keepNext w:val="1"/>
            </w:pPr>
            <w:r>
              <w:t>—</w:t>
            </w:r>
          </w:p>
        </w:tc>
        <w:tc>
          <w:tcPr>
            <w:tcW w:type="dxa" w:w="720"/>
          </w:tcPr>
          <w:p>
            <w:pPr>
              <w:keepLines w:val="1"/>
              <w:keepNext w:val="1"/>
            </w:pPr>
            <w:r>
              <w:t>Art.9 (categorías especiales), Art.32.1 (medidas adicionales)</w:t>
            </w:r>
          </w:p>
        </w:tc>
        <w:tc>
          <w:tcPr>
            <w:tcW w:type="dxa" w:w="720"/>
          </w:tcPr>
          <w:p>
            <w:pPr>
              <w:keepLines w:val="1"/>
              <w:keepNext w:val="1"/>
            </w:pPr>
            <w:r>
              <w:t>A.8.2.1 (clasificación datos)</w:t>
            </w:r>
          </w:p>
        </w:tc>
        <w:tc>
          <w:tcPr>
            <w:tcW w:type="dxa" w:w="720"/>
          </w:tcPr>
          <w:p>
            <w:pPr>
              <w:keepLines w:val="1"/>
              <w:keepNext w:val="1"/>
            </w:pPr>
            <w:r>
              <w:t>ID.AM-5 (datos sensibles)</w:t>
            </w:r>
          </w:p>
        </w:tc>
        <w:tc>
          <w:tcPr>
            <w:tcW w:type="dxa" w:w="720"/>
          </w:tcPr>
          <w:p>
            <w:pPr>
              <w:keepLines w:val="1"/>
              <w:keepNext w:val="1"/>
            </w:pPr>
            <w:r>
              <w:t>—</w:t>
            </w:r>
          </w:p>
        </w:tc>
        <w:tc>
          <w:tcPr>
            <w:tcW w:type="dxa" w:w="720"/>
          </w:tcPr>
          <w:p>
            <w:pPr>
              <w:keepLines w:val="1"/>
              <w:keepNext w:val="1"/>
            </w:pPr>
            <w:r>
              <w:t>Fase 2 (clasificación activos)</w:t>
            </w:r>
          </w:p>
        </w:tc>
        <w:tc>
          <w:tcPr>
            <w:tcW w:type="dxa" w:w="720"/>
          </w:tcPr>
          <w:p>
            <w:pPr>
              <w:keepLines w:val="1"/>
              <w:keepNext w:val="1"/>
            </w:pPr>
            <w:r>
              <w:t>IMC-I2</w:t>
            </w:r>
          </w:p>
        </w:tc>
        <w:tc>
          <w:tcPr>
            <w:tcW w:type="dxa" w:w="720"/>
          </w:tcPr>
          <w:p>
            <w:pPr>
              <w:keepLines w:val="1"/>
              <w:keepNext w:val="1"/>
            </w:pPr>
            <w:r>
              <w:t>Obligatorio (GDPR Art.9)</w:t>
            </w:r>
          </w:p>
        </w:tc>
        <w:tc>
          <w:tcPr>
            <w:tcW w:type="dxa" w:w="720"/>
          </w:tcPr>
          <w:p>
            <w:pPr>
              <w:keepLines w:val="1"/>
              <w:keepNext w:val="1"/>
            </w:pPr>
            <w:r>
              <w:t>Mapa de clasificación de datos GDPR Art.9; identificación de sistemas con datos de categoría especial; porcentaje de usuarios en cada categoría</w:t>
            </w:r>
          </w:p>
        </w:tc>
      </w:tr>
      <w:tr>
        <w:trPr>
          <w:cantSplit w:val="1"/>
        </w:trPr>
        <w:tc>
          <w:tcPr>
            <w:tcW w:type="dxa" w:w="720"/>
          </w:tcPr>
          <w:p>
            <w:pPr>
              <w:keepLines w:val="1"/>
              <w:keepNext w:val="1"/>
            </w:pPr>
            <w:r>
              <w:t>A.M3</w:t>
            </w:r>
          </w:p>
        </w:tc>
        <w:tc>
          <w:tcPr>
            <w:tcW w:type="dxa" w:w="720"/>
          </w:tcPr>
          <w:p>
            <w:pPr>
              <w:keepLines w:val="1"/>
              <w:keepNext w:val="1"/>
            </w:pPr>
            <w:r>
              <w:t>TMNU</w:t>
            </w:r>
          </w:p>
        </w:tc>
        <w:tc>
          <w:tcPr>
            <w:tcW w:type="dxa" w:w="720"/>
          </w:tcPr>
          <w:p>
            <w:pPr>
              <w:keepLines w:val="1"/>
              <w:keepNext w:val="1"/>
            </w:pPr>
            <w:r>
              <w:t>Art.23.2 (notificación a usuarios afectados)</w:t>
            </w:r>
          </w:p>
        </w:tc>
        <w:tc>
          <w:tcPr>
            <w:tcW w:type="dxa" w:w="720"/>
          </w:tcPr>
          <w:p>
            <w:pPr>
              <w:keepLines w:val="1"/>
              <w:keepNext w:val="1"/>
            </w:pPr>
            <w:r>
              <w:t>—</w:t>
            </w:r>
          </w:p>
        </w:tc>
        <w:tc>
          <w:tcPr>
            <w:tcW w:type="dxa" w:w="720"/>
          </w:tcPr>
          <w:p>
            <w:pPr>
              <w:keepLines w:val="1"/>
              <w:keepNext w:val="1"/>
            </w:pPr>
            <w:r>
              <w:t>Art.19.5 (comunicación a afectados)</w:t>
            </w:r>
          </w:p>
        </w:tc>
        <w:tc>
          <w:tcPr>
            <w:tcW w:type="dxa" w:w="720"/>
          </w:tcPr>
          <w:p>
            <w:pPr>
              <w:keepLines w:val="1"/>
              <w:keepNext w:val="1"/>
            </w:pPr>
            <w:r>
              <w:t>Art.33 (&lt; 72h AEPD), Art.34 (comunicación a interesados)</w:t>
            </w:r>
          </w:p>
        </w:tc>
        <w:tc>
          <w:tcPr>
            <w:tcW w:type="dxa" w:w="720"/>
          </w:tcPr>
          <w:p>
            <w:pPr>
              <w:keepLines w:val="1"/>
              <w:keepNext w:val="1"/>
            </w:pPr>
            <w:r>
              <w:t>A.16.1.6 (aprendizaje de incidentes)</w:t>
            </w:r>
          </w:p>
        </w:tc>
        <w:tc>
          <w:tcPr>
            <w:tcW w:type="dxa" w:w="720"/>
          </w:tcPr>
          <w:p>
            <w:pPr>
              <w:keepLines w:val="1"/>
              <w:keepNext w:val="1"/>
            </w:pPr>
            <w:r>
              <w:t>RS.CO-3 (comunicación incidentes)</w:t>
            </w:r>
          </w:p>
        </w:tc>
        <w:tc>
          <w:tcPr>
            <w:tcW w:type="dxa" w:w="720"/>
          </w:tcPr>
          <w:p>
            <w:pPr>
              <w:keepLines w:val="1"/>
              <w:keepNext w:val="1"/>
            </w:pPr>
            <w:r>
              <w:t>—</w:t>
            </w:r>
          </w:p>
        </w:tc>
        <w:tc>
          <w:tcPr>
            <w:tcW w:type="dxa" w:w="720"/>
          </w:tcPr>
          <w:p>
            <w:pPr>
              <w:keepLines w:val="1"/>
              <w:keepNext w:val="1"/>
            </w:pPr>
            <w:r>
              <w:t>—</w:t>
            </w:r>
          </w:p>
        </w:tc>
        <w:tc>
          <w:tcPr>
            <w:tcW w:type="dxa" w:w="720"/>
          </w:tcPr>
          <w:p>
            <w:pPr>
              <w:keepLines w:val="1"/>
              <w:keepNext w:val="1"/>
            </w:pPr>
            <w:r>
              <w:t>IMC-N2</w:t>
            </w:r>
          </w:p>
        </w:tc>
        <w:tc>
          <w:tcPr>
            <w:tcW w:type="dxa" w:w="720"/>
          </w:tcPr>
          <w:p>
            <w:pPr>
              <w:keepLines w:val="1"/>
              <w:keepNext w:val="1"/>
            </w:pPr>
            <w:r>
              <w:t>Obligatorio (GDPR Art.33-34)</w:t>
            </w:r>
          </w:p>
        </w:tc>
        <w:tc>
          <w:tcPr>
            <w:tcW w:type="dxa" w:w="720"/>
          </w:tcPr>
          <w:p>
            <w:pPr>
              <w:keepLines w:val="1"/>
              <w:keepNext w:val="1"/>
            </w:pPr>
            <w:r>
              <w:t>Registros DPO con timestamps; acuses de recibo de la AEPD; evidencia de comunicación a usuarios afectados; plantillas de notificación aprobadas</w:t>
            </w:r>
          </w:p>
        </w:tc>
      </w:tr>
      <w:tr>
        <w:trPr>
          <w:cantSplit w:val="1"/>
        </w:trPr>
        <w:tc>
          <w:tcPr>
            <w:tcW w:type="dxa" w:w="720"/>
          </w:tcPr>
          <w:p>
            <w:pPr>
              <w:keepLines w:val="1"/>
              <w:keepNext w:val="1"/>
            </w:pPr>
            <w:r>
              <w:t>A.M4</w:t>
            </w:r>
          </w:p>
        </w:tc>
        <w:tc>
          <w:tcPr>
            <w:tcW w:type="dxa" w:w="720"/>
          </w:tcPr>
          <w:p>
            <w:pPr>
              <w:keepLines w:val="1"/>
              <w:keepNext w:val="1"/>
            </w:pPr>
            <w:r>
              <w:t>CUA</w:t>
            </w:r>
          </w:p>
        </w:tc>
        <w:tc>
          <w:tcPr>
            <w:tcW w:type="dxa" w:w="720"/>
          </w:tcPr>
          <w:p>
            <w:pPr>
              <w:keepLines w:val="1"/>
              <w:keepNext w:val="1"/>
            </w:pPr>
            <w:r>
              <w:t>Art.21.2.a (análisis de impacto financiero)</w:t>
            </w:r>
          </w:p>
        </w:tc>
        <w:tc>
          <w:tcPr>
            <w:tcW w:type="dxa" w:w="720"/>
          </w:tcPr>
          <w:p>
            <w:pPr>
              <w:keepLines w:val="1"/>
              <w:keepNext w:val="1"/>
            </w:pPr>
            <w:r>
              <w:t>—</w:t>
            </w:r>
          </w:p>
        </w:tc>
        <w:tc>
          <w:tcPr>
            <w:tcW w:type="dxa" w:w="720"/>
          </w:tcPr>
          <w:p>
            <w:pPr>
              <w:keepLines w:val="1"/>
              <w:keepNext w:val="1"/>
            </w:pPr>
            <w:r>
              <w:t>Art.6.a (impacto financiero cuantificado)</w:t>
            </w:r>
          </w:p>
        </w:tc>
        <w:tc>
          <w:tcPr>
            <w:tcW w:type="dxa" w:w="720"/>
          </w:tcPr>
          <w:p>
            <w:pPr>
              <w:keepLines w:val="1"/>
              <w:keepNext w:val="1"/>
            </w:pPr>
            <w:r>
              <w:t>Art.35 (EIPD para procesamiento de alto riesgo)</w:t>
            </w:r>
          </w:p>
        </w:tc>
        <w:tc>
          <w:tcPr>
            <w:tcW w:type="dxa" w:w="720"/>
          </w:tcPr>
          <w:p>
            <w:pPr>
              <w:keepLines w:val="1"/>
              <w:keepNext w:val="1"/>
            </w:pPr>
            <w:r>
              <w:t>A.6.1.2 (valoración del impacto)</w:t>
            </w:r>
          </w:p>
        </w:tc>
        <w:tc>
          <w:tcPr>
            <w:tcW w:type="dxa" w:w="720"/>
          </w:tcPr>
          <w:p>
            <w:pPr>
              <w:keepLines w:val="1"/>
              <w:keepNext w:val="1"/>
            </w:pPr>
            <w:r>
              <w:t>GV.RM-6 (cuantificación del riesgo)</w:t>
            </w:r>
          </w:p>
        </w:tc>
        <w:tc>
          <w:tcPr>
            <w:tcW w:type="dxa" w:w="720"/>
          </w:tcPr>
          <w:p>
            <w:pPr>
              <w:keepLines w:val="1"/>
              <w:keepNext w:val="1"/>
            </w:pPr>
            <w:r>
              <w:t>—</w:t>
            </w:r>
          </w:p>
        </w:tc>
        <w:tc>
          <w:tcPr>
            <w:tcW w:type="dxa" w:w="720"/>
          </w:tcPr>
          <w:p>
            <w:pPr>
              <w:keepLines w:val="1"/>
              <w:keepNext w:val="1"/>
            </w:pPr>
            <w:r>
              <w:t>Fase 3 (impacto económico)</w:t>
            </w:r>
          </w:p>
        </w:tc>
        <w:tc>
          <w:tcPr>
            <w:tcW w:type="dxa" w:w="720"/>
          </w:tcPr>
          <w:p>
            <w:pPr>
              <w:keepLines w:val="1"/>
              <w:keepNext w:val="1"/>
            </w:pPr>
            <w:r>
              <w:t>IMC-R3</w:t>
            </w:r>
          </w:p>
        </w:tc>
        <w:tc>
          <w:tcPr>
            <w:tcW w:type="dxa" w:w="720"/>
          </w:tcPr>
          <w:p>
            <w:pPr>
              <w:keepLines w:val="1"/>
              <w:keepNext w:val="1"/>
            </w:pPr>
            <w:r>
              <w:t>Recomendado</w:t>
            </w:r>
          </w:p>
        </w:tc>
        <w:tc>
          <w:tcPr>
            <w:tcW w:type="dxa" w:w="720"/>
          </w:tcPr>
          <w:p>
            <w:pPr>
              <w:keepLines w:val="1"/>
              <w:keepNext w:val="1"/>
            </w:pPr>
            <w:r>
              <w:t>Informe post-incidente con contabilización de costes directos e indirectos; cálculo del coste por usuario afectado; comparativa con benchmarks INCIBE/Ponemon</w:t>
            </w:r>
          </w:p>
        </w:tc>
      </w:tr>
      <w:tr>
        <w:trPr>
          <w:cantSplit w:val="1"/>
        </w:trPr>
        <w:tc>
          <w:tcPr>
            <w:tcW w:type="dxa" w:w="720"/>
          </w:tcPr>
          <w:p>
            <w:pPr>
              <w:keepLines w:val="1"/>
            </w:pPr>
            <w:r>
              <w:t>A.M5</w:t>
            </w:r>
          </w:p>
        </w:tc>
        <w:tc>
          <w:tcPr>
            <w:tcW w:type="dxa" w:w="720"/>
          </w:tcPr>
          <w:p>
            <w:pPr>
              <w:keepLines w:val="1"/>
            </w:pPr>
            <w:r>
              <w:t>CCUC</w:t>
            </w:r>
          </w:p>
        </w:tc>
        <w:tc>
          <w:tcPr>
            <w:tcW w:type="dxa" w:w="720"/>
          </w:tcPr>
          <w:p>
            <w:pPr>
              <w:keepLines w:val="1"/>
            </w:pPr>
            <w:r>
              <w:t>Art.21.2.c (continuidad de los servicios esenciales)</w:t>
            </w:r>
          </w:p>
        </w:tc>
        <w:tc>
          <w:tcPr>
            <w:tcW w:type="dxa" w:w="720"/>
          </w:tcPr>
          <w:p>
            <w:pPr>
              <w:keepLines w:val="1"/>
            </w:pPr>
            <w:r>
              <w:t>Op.cont.1 (BCP)</w:t>
            </w:r>
          </w:p>
        </w:tc>
        <w:tc>
          <w:tcPr>
            <w:tcW w:type="dxa" w:w="720"/>
          </w:tcPr>
          <w:p>
            <w:pPr>
              <w:keepLines w:val="1"/>
            </w:pPr>
            <w:r>
              <w:t>Art.11 (continuidad de los servicios TIC)</w:t>
            </w:r>
          </w:p>
        </w:tc>
        <w:tc>
          <w:tcPr>
            <w:tcW w:type="dxa" w:w="720"/>
          </w:tcPr>
          <w:p>
            <w:pPr>
              <w:keepLines w:val="1"/>
            </w:pPr>
            <w:r>
              <w:t>—</w:t>
            </w:r>
          </w:p>
        </w:tc>
        <w:tc>
          <w:tcPr>
            <w:tcW w:type="dxa" w:w="720"/>
          </w:tcPr>
          <w:p>
            <w:pPr>
              <w:keepLines w:val="1"/>
            </w:pPr>
            <w:r>
              <w:t>A.17.1.2 (implementación de continuidad)</w:t>
            </w:r>
          </w:p>
        </w:tc>
        <w:tc>
          <w:tcPr>
            <w:tcW w:type="dxa" w:w="720"/>
          </w:tcPr>
          <w:p>
            <w:pPr>
              <w:keepLines w:val="1"/>
            </w:pPr>
            <w:r>
              <w:t>RC.RP-1 (plan de recuperación)</w:t>
            </w:r>
          </w:p>
        </w:tc>
        <w:tc>
          <w:tcPr>
            <w:tcW w:type="dxa" w:w="720"/>
          </w:tcPr>
          <w:p>
            <w:pPr>
              <w:keepLines w:val="1"/>
            </w:pPr>
            <w:r>
              <w:t>—</w:t>
            </w:r>
          </w:p>
        </w:tc>
        <w:tc>
          <w:tcPr>
            <w:tcW w:type="dxa" w:w="720"/>
          </w:tcPr>
          <w:p>
            <w:pPr>
              <w:keepLines w:val="1"/>
            </w:pPr>
            <w:r>
              <w:t>Plan de Continuidad</w:t>
            </w:r>
          </w:p>
        </w:tc>
        <w:tc>
          <w:tcPr>
            <w:tcW w:type="dxa" w:w="720"/>
          </w:tcPr>
          <w:p>
            <w:pPr>
              <w:keepLines w:val="1"/>
            </w:pPr>
            <w:r>
              <w:t>IMC-BC2</w:t>
            </w:r>
          </w:p>
        </w:tc>
        <w:tc>
          <w:tcPr>
            <w:tcW w:type="dxa" w:w="720"/>
          </w:tcPr>
          <w:p>
            <w:pPr>
              <w:keepLines w:val="1"/>
            </w:pPr>
            <w:r>
              <w:t>Obligatorio (NIS2/DORA para esenciales)</w:t>
            </w:r>
          </w:p>
        </w:tc>
        <w:tc>
          <w:tcPr>
            <w:tcW w:type="dxa" w:w="720"/>
          </w:tcPr>
          <w:p>
            <w:pPr>
              <w:keepLines w:val="1"/>
            </w:pPr>
            <w:r>
              <w:t>Inventario de usuarios por servicio con estado de cobertura BCP/DRP; resultados de ejercicios de continuidad; certificación de RTO/RPO por servicio</w:t>
            </w:r>
          </w:p>
        </w:tc>
      </w:tr>
    </w:tbl>
    <w:p/>
    <w:p>
      <w:pPr>
        <w:pStyle w:val="Heading3"/>
        <w:keepNext/>
        <w:keepLines/>
      </w:pPr>
      <w:r>
        <w:t>DIMENSIÓN Disc — DESCUBRIBILIDAD</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rPr>
          <w:cantSplit w:val="1"/>
        </w:trPr>
        <w:tc>
          <w:tcPr>
            <w:tcW w:type="dxa" w:w="720"/>
            <w:shd w:fill="0033CC"/>
          </w:tcPr>
          <w:p>
            <w:pPr>
              <w:keepLines w:val="1"/>
              <w:keepNext w:val="1"/>
            </w:pPr>
            <w:r>
              <w:rPr>
                <w:b/>
                <w:color w:val="FFFFFF"/>
              </w:rPr>
              <w:t>ID Métrica</w:t>
            </w:r>
          </w:p>
        </w:tc>
        <w:tc>
          <w:tcPr>
            <w:tcW w:type="dxa" w:w="720"/>
            <w:shd w:fill="0033CC"/>
          </w:tcPr>
          <w:p>
            <w:pPr>
              <w:keepLines w:val="1"/>
              <w:keepNext w:val="1"/>
            </w:pPr>
            <w:r>
              <w:rPr>
                <w:b/>
                <w:color w:val="FFFFFF"/>
              </w:rPr>
              <w:t>Nombre</w:t>
            </w:r>
          </w:p>
        </w:tc>
        <w:tc>
          <w:tcPr>
            <w:tcW w:type="dxa" w:w="720"/>
            <w:shd w:fill="0033CC"/>
          </w:tcPr>
          <w:p>
            <w:pPr>
              <w:keepLines w:val="1"/>
              <w:keepNext w:val="1"/>
            </w:pPr>
            <w:r>
              <w:rPr>
                <w:b/>
                <w:color w:val="FFFFFF"/>
              </w:rPr>
              <w:t>NIS2</w:t>
            </w:r>
          </w:p>
        </w:tc>
        <w:tc>
          <w:tcPr>
            <w:tcW w:type="dxa" w:w="720"/>
            <w:shd w:fill="0033CC"/>
          </w:tcPr>
          <w:p>
            <w:pPr>
              <w:keepLines w:val="1"/>
              <w:keepNext w:val="1"/>
            </w:pPr>
            <w:r>
              <w:rPr>
                <w:b/>
                <w:color w:val="FFFFFF"/>
              </w:rPr>
              <w:t>ENS</w:t>
            </w:r>
          </w:p>
        </w:tc>
        <w:tc>
          <w:tcPr>
            <w:tcW w:type="dxa" w:w="720"/>
            <w:shd w:fill="0033CC"/>
          </w:tcPr>
          <w:p>
            <w:pPr>
              <w:keepLines w:val="1"/>
              <w:keepNext w:val="1"/>
            </w:pPr>
            <w:r>
              <w:rPr>
                <w:b/>
                <w:color w:val="FFFFFF"/>
              </w:rPr>
              <w:t>DORA</w:t>
            </w:r>
          </w:p>
        </w:tc>
        <w:tc>
          <w:tcPr>
            <w:tcW w:type="dxa" w:w="720"/>
            <w:shd w:fill="0033CC"/>
          </w:tcPr>
          <w:p>
            <w:pPr>
              <w:keepLines w:val="1"/>
              <w:keepNext w:val="1"/>
            </w:pPr>
            <w:r>
              <w:rPr>
                <w:b/>
                <w:color w:val="FFFFFF"/>
              </w:rPr>
              <w:t>GDPR</w:t>
            </w:r>
          </w:p>
        </w:tc>
        <w:tc>
          <w:tcPr>
            <w:tcW w:type="dxa" w:w="720"/>
            <w:shd w:fill="0033CC"/>
          </w:tcPr>
          <w:p>
            <w:pPr>
              <w:keepLines w:val="1"/>
              <w:keepNext w:val="1"/>
            </w:pPr>
            <w:r>
              <w:rPr>
                <w:b/>
                <w:color w:val="FFFFFF"/>
              </w:rPr>
              <w:t>ISO 27001:2022</w:t>
            </w:r>
          </w:p>
        </w:tc>
        <w:tc>
          <w:tcPr>
            <w:tcW w:type="dxa" w:w="720"/>
            <w:shd w:fill="0033CC"/>
          </w:tcPr>
          <w:p>
            <w:pPr>
              <w:keepLines w:val="1"/>
              <w:keepNext w:val="1"/>
            </w:pPr>
            <w:r>
              <w:rPr>
                <w:b/>
                <w:color w:val="FFFFFF"/>
              </w:rPr>
              <w:t>NIST CSF 2.0</w:t>
            </w:r>
          </w:p>
        </w:tc>
        <w:tc>
          <w:tcPr>
            <w:tcW w:type="dxa" w:w="720"/>
            <w:shd w:fill="0033CC"/>
          </w:tcPr>
          <w:p>
            <w:pPr>
              <w:keepLines w:val="1"/>
              <w:keepNext w:val="1"/>
            </w:pPr>
            <w:r>
              <w:rPr>
                <w:b/>
                <w:color w:val="FFFFFF"/>
              </w:rPr>
              <w:t>CRA</w:t>
            </w:r>
          </w:p>
        </w:tc>
        <w:tc>
          <w:tcPr>
            <w:tcW w:type="dxa" w:w="720"/>
            <w:shd w:fill="0033CC"/>
          </w:tcPr>
          <w:p>
            <w:pPr>
              <w:keepLines w:val="1"/>
              <w:keepNext w:val="1"/>
            </w:pPr>
            <w:r>
              <w:rPr>
                <w:b/>
                <w:color w:val="FFFFFF"/>
              </w:rPr>
              <w:t>IEC 62443</w:t>
            </w:r>
          </w:p>
        </w:tc>
        <w:tc>
          <w:tcPr>
            <w:tcW w:type="dxa" w:w="720"/>
            <w:shd w:fill="0033CC"/>
          </w:tcPr>
          <w:p>
            <w:pPr>
              <w:keepLines w:val="1"/>
              <w:keepNext w:val="1"/>
            </w:pPr>
            <w:r>
              <w:rPr>
                <w:b/>
                <w:color w:val="FFFFFF"/>
              </w:rPr>
              <w:t>INCIBE-IMC</w:t>
            </w:r>
          </w:p>
        </w:tc>
        <w:tc>
          <w:tcPr>
            <w:tcW w:type="dxa" w:w="720"/>
            <w:shd w:fill="0033CC"/>
          </w:tcPr>
          <w:p>
            <w:pPr>
              <w:keepLines w:val="1"/>
              <w:keepNext w:val="1"/>
            </w:pPr>
            <w:r>
              <w:rPr>
                <w:b/>
                <w:color w:val="FFFFFF"/>
              </w:rPr>
              <w:t>Tipo Req.</w:t>
            </w:r>
          </w:p>
        </w:tc>
        <w:tc>
          <w:tcPr>
            <w:tcW w:type="dxa" w:w="720"/>
            <w:shd w:fill="0033CC"/>
          </w:tcPr>
          <w:p>
            <w:pPr>
              <w:keepLines w:val="1"/>
              <w:keepNext w:val="1"/>
            </w:pPr>
            <w:r>
              <w:rPr>
                <w:b/>
                <w:color w:val="FFFFFF"/>
              </w:rPr>
              <w:t>Evidencia de auditoría</w:t>
            </w:r>
          </w:p>
        </w:tc>
      </w:tr>
      <w:tr>
        <w:trPr>
          <w:cantSplit w:val="1"/>
        </w:trPr>
        <w:tc>
          <w:tcPr>
            <w:tcW w:type="dxa" w:w="720"/>
          </w:tcPr>
          <w:p>
            <w:pPr>
              <w:keepLines w:val="1"/>
              <w:keepNext w:val="1"/>
            </w:pPr>
            <w:r>
              <w:t>Disc.M1</w:t>
            </w:r>
          </w:p>
        </w:tc>
        <w:tc>
          <w:tcPr>
            <w:tcW w:type="dxa" w:w="720"/>
          </w:tcPr>
          <w:p>
            <w:pPr>
              <w:keepLines w:val="1"/>
              <w:keepNext w:val="1"/>
            </w:pPr>
            <w:r>
              <w:t>RSAE</w:t>
            </w:r>
          </w:p>
        </w:tc>
        <w:tc>
          <w:tcPr>
            <w:tcW w:type="dxa" w:w="720"/>
          </w:tcPr>
          <w:p>
            <w:pPr>
              <w:keepLines w:val="1"/>
              <w:keepNext w:val="1"/>
            </w:pPr>
            <w:r>
              <w:t>Art.21.2.e (gestión de la superficie de ataque)</w:t>
            </w:r>
          </w:p>
        </w:tc>
        <w:tc>
          <w:tcPr>
            <w:tcW w:type="dxa" w:w="720"/>
          </w:tcPr>
          <w:p>
            <w:pPr>
              <w:keepLines w:val="1"/>
              <w:keepNext w:val="1"/>
            </w:pPr>
            <w:r>
              <w:t>Mp.com.1 (perímetro de red)</w:t>
            </w:r>
          </w:p>
        </w:tc>
        <w:tc>
          <w:tcPr>
            <w:tcW w:type="dxa" w:w="720"/>
          </w:tcPr>
          <w:p>
            <w:pPr>
              <w:keepLines w:val="1"/>
              <w:keepNext w:val="1"/>
            </w:pPr>
            <w:r>
              <w:t>Art.9.4 (monitorización del entorno)</w:t>
            </w:r>
          </w:p>
        </w:tc>
        <w:tc>
          <w:tcPr>
            <w:tcW w:type="dxa" w:w="720"/>
          </w:tcPr>
          <w:p>
            <w:pPr>
              <w:keepLines w:val="1"/>
              <w:keepNext w:val="1"/>
            </w:pPr>
            <w:r>
              <w:t>—</w:t>
            </w:r>
          </w:p>
        </w:tc>
        <w:tc>
          <w:tcPr>
            <w:tcW w:type="dxa" w:w="720"/>
          </w:tcPr>
          <w:p>
            <w:pPr>
              <w:keepLines w:val="1"/>
              <w:keepNext w:val="1"/>
            </w:pPr>
            <w:r>
              <w:t>A.13.1.1 (controles de red)</w:t>
            </w:r>
          </w:p>
        </w:tc>
        <w:tc>
          <w:tcPr>
            <w:tcW w:type="dxa" w:w="720"/>
          </w:tcPr>
          <w:p>
            <w:pPr>
              <w:keepLines w:val="1"/>
              <w:keepNext w:val="1"/>
            </w:pPr>
            <w:r>
              <w:t>ID.AM-3 (inventario red)</w:t>
            </w:r>
          </w:p>
        </w:tc>
        <w:tc>
          <w:tcPr>
            <w:tcW w:type="dxa" w:w="720"/>
          </w:tcPr>
          <w:p>
            <w:pPr>
              <w:keepLines w:val="1"/>
              <w:keepNext w:val="1"/>
            </w:pPr>
            <w:r>
              <w:t>Art.13.2.d (superficie de ataque)</w:t>
            </w:r>
          </w:p>
        </w:tc>
        <w:tc>
          <w:tcPr>
            <w:tcW w:type="dxa" w:w="720"/>
          </w:tcPr>
          <w:p>
            <w:pPr>
              <w:keepLines w:val="1"/>
              <w:keepNext w:val="1"/>
            </w:pPr>
            <w:r>
              <w:t>SR 5.2 (control de zonas)</w:t>
            </w:r>
          </w:p>
        </w:tc>
        <w:tc>
          <w:tcPr>
            <w:tcW w:type="dxa" w:w="720"/>
          </w:tcPr>
          <w:p>
            <w:pPr>
              <w:keepLines w:val="1"/>
              <w:keepNext w:val="1"/>
            </w:pPr>
            <w:r>
              <w:t>IMC-EA1</w:t>
            </w:r>
          </w:p>
        </w:tc>
        <w:tc>
          <w:tcPr>
            <w:tcW w:type="dxa" w:w="720"/>
          </w:tcPr>
          <w:p>
            <w:pPr>
              <w:keepLines w:val="1"/>
              <w:keepNext w:val="1"/>
            </w:pPr>
            <w:r>
              <w:t>Recomendado</w:t>
            </w:r>
          </w:p>
        </w:tc>
        <w:tc>
          <w:tcPr>
            <w:tcW w:type="dxa" w:w="720"/>
          </w:tcPr>
          <w:p>
            <w:pPr>
              <w:keepLines w:val="1"/>
              <w:keepNext w:val="1"/>
            </w:pPr>
            <w:r>
              <w:t>Informes ASM periódicos con inventario de activos externamente visibles; comparativa con baseline; registro de cambios de exposición</w:t>
            </w:r>
          </w:p>
        </w:tc>
      </w:tr>
      <w:tr>
        <w:trPr>
          <w:cantSplit w:val="1"/>
        </w:trPr>
        <w:tc>
          <w:tcPr>
            <w:tcW w:type="dxa" w:w="720"/>
          </w:tcPr>
          <w:p>
            <w:pPr>
              <w:keepLines w:val="1"/>
              <w:keepNext w:val="1"/>
            </w:pPr>
            <w:r>
              <w:t>Disc.M2</w:t>
            </w:r>
          </w:p>
        </w:tc>
        <w:tc>
          <w:tcPr>
            <w:tcW w:type="dxa" w:w="720"/>
          </w:tcPr>
          <w:p>
            <w:pPr>
              <w:keepLines w:val="1"/>
              <w:keepNext w:val="1"/>
            </w:pPr>
            <w:r>
              <w:t>RDPR</w:t>
            </w:r>
          </w:p>
        </w:tc>
        <w:tc>
          <w:tcPr>
            <w:tcW w:type="dxa" w:w="720"/>
          </w:tcPr>
          <w:p>
            <w:pPr>
              <w:keepLines w:val="1"/>
              <w:keepNext w:val="1"/>
            </w:pPr>
            <w:r>
              <w:t>Art.21.2.h (pruebas de eficacia de controles)</w:t>
            </w:r>
          </w:p>
        </w:tc>
        <w:tc>
          <w:tcPr>
            <w:tcW w:type="dxa" w:w="720"/>
          </w:tcPr>
          <w:p>
            <w:pPr>
              <w:keepLines w:val="1"/>
              <w:keepNext w:val="1"/>
            </w:pPr>
            <w:r>
              <w:t>Op.exp.3 (monitorización proactiva)</w:t>
            </w:r>
          </w:p>
        </w:tc>
        <w:tc>
          <w:tcPr>
            <w:tcW w:type="dxa" w:w="720"/>
          </w:tcPr>
          <w:p>
            <w:pPr>
              <w:keepLines w:val="1"/>
              <w:keepNext w:val="1"/>
            </w:pPr>
            <w:r>
              <w:t>Art.26 (pruebas de penetración)</w:t>
            </w:r>
          </w:p>
        </w:tc>
        <w:tc>
          <w:tcPr>
            <w:tcW w:type="dxa" w:w="720"/>
          </w:tcPr>
          <w:p>
            <w:pPr>
              <w:keepLines w:val="1"/>
              <w:keepNext w:val="1"/>
            </w:pPr>
            <w:r>
              <w:t>—</w:t>
            </w:r>
          </w:p>
        </w:tc>
        <w:tc>
          <w:tcPr>
            <w:tcW w:type="dxa" w:w="720"/>
          </w:tcPr>
          <w:p>
            <w:pPr>
              <w:keepLines w:val="1"/>
              <w:keepNext w:val="1"/>
            </w:pPr>
            <w:r>
              <w:t>A.16.1.4 (valoración de incidentes)</w:t>
            </w:r>
          </w:p>
        </w:tc>
        <w:tc>
          <w:tcPr>
            <w:tcW w:type="dxa" w:w="720"/>
          </w:tcPr>
          <w:p>
            <w:pPr>
              <w:keepLines w:val="1"/>
              <w:keepNext w:val="1"/>
            </w:pPr>
            <w:r>
              <w:t>DE.CM (Detect.Monitoring)</w:t>
            </w:r>
          </w:p>
        </w:tc>
        <w:tc>
          <w:tcPr>
            <w:tcW w:type="dxa" w:w="720"/>
          </w:tcPr>
          <w:p>
            <w:pPr>
              <w:keepLines w:val="1"/>
              <w:keepNext w:val="1"/>
            </w:pPr>
            <w:r>
              <w:t>Art.13.2.c</w:t>
            </w:r>
          </w:p>
        </w:tc>
        <w:tc>
          <w:tcPr>
            <w:tcW w:type="dxa" w:w="720"/>
          </w:tcPr>
          <w:p>
            <w:pPr>
              <w:keepLines w:val="1"/>
              <w:keepNext w:val="1"/>
            </w:pPr>
            <w:r>
              <w:t>SR 6.1 (auditoría de seguridad)</w:t>
            </w:r>
          </w:p>
        </w:tc>
        <w:tc>
          <w:tcPr>
            <w:tcW w:type="dxa" w:w="720"/>
          </w:tcPr>
          <w:p>
            <w:pPr>
              <w:keepLines w:val="1"/>
              <w:keepNext w:val="1"/>
            </w:pPr>
            <w:r>
              <w:t>IMC-D3</w:t>
            </w:r>
          </w:p>
        </w:tc>
        <w:tc>
          <w:tcPr>
            <w:tcW w:type="dxa" w:w="720"/>
          </w:tcPr>
          <w:p>
            <w:pPr>
              <w:keepLines w:val="1"/>
              <w:keepNext w:val="1"/>
            </w:pPr>
            <w:r>
              <w:t>Recomendado</w:t>
            </w:r>
          </w:p>
        </w:tc>
        <w:tc>
          <w:tcPr>
            <w:tcW w:type="dxa" w:w="720"/>
          </w:tcPr>
          <w:p>
            <w:pPr>
              <w:keepLines w:val="1"/>
              <w:keepNext w:val="1"/>
            </w:pPr>
            <w:r>
              <w:t>Registro de orígenes de descubrimiento de vulnerabilidades (interno/externo); resultados de red team; evidencia de programa de threat hunting</w:t>
            </w:r>
          </w:p>
        </w:tc>
      </w:tr>
      <w:tr>
        <w:trPr>
          <w:cantSplit w:val="1"/>
        </w:trPr>
        <w:tc>
          <w:tcPr>
            <w:tcW w:type="dxa" w:w="720"/>
          </w:tcPr>
          <w:p>
            <w:pPr>
              <w:keepLines w:val="1"/>
              <w:keepNext w:val="1"/>
            </w:pPr>
            <w:r>
              <w:t>Disc.M3</w:t>
            </w:r>
          </w:p>
        </w:tc>
        <w:tc>
          <w:tcPr>
            <w:tcW w:type="dxa" w:w="720"/>
          </w:tcPr>
          <w:p>
            <w:pPr>
              <w:keepLines w:val="1"/>
              <w:keepNext w:val="1"/>
            </w:pPr>
            <w:r>
              <w:t>NSIE</w:t>
            </w:r>
          </w:p>
        </w:tc>
        <w:tc>
          <w:tcPr>
            <w:tcW w:type="dxa" w:w="720"/>
          </w:tcPr>
          <w:p>
            <w:pPr>
              <w:keepLines w:val="1"/>
              <w:keepNext w:val="1"/>
            </w:pPr>
            <w:r>
              <w:t>Art.21.2.d (hardening de sistemas)</w:t>
            </w:r>
          </w:p>
        </w:tc>
        <w:tc>
          <w:tcPr>
            <w:tcW w:type="dxa" w:w="720"/>
          </w:tcPr>
          <w:p>
            <w:pPr>
              <w:keepLines w:val="1"/>
              <w:keepNext w:val="1"/>
            </w:pPr>
            <w:r>
              <w:t>Mp.com.2 (protección de la red), Op.exp.1 (registro de actividad)</w:t>
            </w:r>
          </w:p>
        </w:tc>
        <w:tc>
          <w:tcPr>
            <w:tcW w:type="dxa" w:w="720"/>
          </w:tcPr>
          <w:p>
            <w:pPr>
              <w:keepLines w:val="1"/>
              <w:keepNext w:val="1"/>
            </w:pPr>
            <w:r>
              <w:t>Art.9.3 (gestión de la configuración TIC)</w:t>
            </w:r>
          </w:p>
        </w:tc>
        <w:tc>
          <w:tcPr>
            <w:tcW w:type="dxa" w:w="720"/>
          </w:tcPr>
          <w:p>
            <w:pPr>
              <w:keepLines w:val="1"/>
              <w:keepNext w:val="1"/>
            </w:pPr>
            <w:r>
              <w:t>—</w:t>
            </w:r>
          </w:p>
        </w:tc>
        <w:tc>
          <w:tcPr>
            <w:tcW w:type="dxa" w:w="720"/>
          </w:tcPr>
          <w:p>
            <w:pPr>
              <w:keepLines w:val="1"/>
              <w:keepNext w:val="1"/>
            </w:pPr>
            <w:r>
              <w:t>A.12.6.2 (restricción de software), A.13.1 (seguridad de red)</w:t>
            </w:r>
          </w:p>
        </w:tc>
        <w:tc>
          <w:tcPr>
            <w:tcW w:type="dxa" w:w="720"/>
          </w:tcPr>
          <w:p>
            <w:pPr>
              <w:keepLines w:val="1"/>
              <w:keepNext w:val="1"/>
            </w:pPr>
            <w:r>
              <w:t>PR.IP-1 (baseline de configuración)</w:t>
            </w:r>
          </w:p>
        </w:tc>
        <w:tc>
          <w:tcPr>
            <w:tcW w:type="dxa" w:w="720"/>
          </w:tcPr>
          <w:p>
            <w:pPr>
              <w:keepLines w:val="1"/>
              <w:keepNext w:val="1"/>
            </w:pPr>
            <w:r>
              <w:t>Art.13.2.d (principio mínimo privilegio)</w:t>
            </w:r>
          </w:p>
        </w:tc>
        <w:tc>
          <w:tcPr>
            <w:tcW w:type="dxa" w:w="720"/>
          </w:tcPr>
          <w:p>
            <w:pPr>
              <w:keepLines w:val="1"/>
              <w:keepNext w:val="1"/>
            </w:pPr>
            <w:r>
              <w:t>SR 7.6 (control de puertos y servicios)</w:t>
            </w:r>
          </w:p>
        </w:tc>
        <w:tc>
          <w:tcPr>
            <w:tcW w:type="dxa" w:w="720"/>
          </w:tcPr>
          <w:p>
            <w:pPr>
              <w:keepLines w:val="1"/>
              <w:keepNext w:val="1"/>
            </w:pPr>
            <w:r>
              <w:t>IMC-EA2</w:t>
            </w:r>
          </w:p>
        </w:tc>
        <w:tc>
          <w:tcPr>
            <w:tcW w:type="dxa" w:w="720"/>
          </w:tcPr>
          <w:p>
            <w:pPr>
              <w:keepLines w:val="1"/>
              <w:keepNext w:val="1"/>
            </w:pPr>
            <w:r>
              <w:t>Obligatorio (ENS/CRA)</w:t>
            </w:r>
          </w:p>
        </w:tc>
        <w:tc>
          <w:tcPr>
            <w:tcW w:type="dxa" w:w="720"/>
          </w:tcPr>
          <w:p>
            <w:pPr>
              <w:keepLines w:val="1"/>
              <w:keepNext w:val="1"/>
            </w:pPr>
            <w:r>
              <w:t>Resultados de escaneo de puertos firmados con fecha; registro de justificaciones para puertos abiertos; comparativa vs. baseline de hardening aprobado</w:t>
            </w:r>
          </w:p>
        </w:tc>
      </w:tr>
      <w:tr>
        <w:trPr>
          <w:cantSplit w:val="1"/>
        </w:trPr>
        <w:tc>
          <w:tcPr>
            <w:tcW w:type="dxa" w:w="720"/>
          </w:tcPr>
          <w:p>
            <w:pPr>
              <w:keepLines w:val="1"/>
            </w:pPr>
            <w:r>
              <w:t>Disc.M4</w:t>
            </w:r>
          </w:p>
        </w:tc>
        <w:tc>
          <w:tcPr>
            <w:tcW w:type="dxa" w:w="720"/>
          </w:tcPr>
          <w:p>
            <w:pPr>
              <w:keepLines w:val="1"/>
            </w:pPr>
            <w:r>
              <w:t>TMDE</w:t>
            </w:r>
          </w:p>
        </w:tc>
        <w:tc>
          <w:tcPr>
            <w:tcW w:type="dxa" w:w="720"/>
          </w:tcPr>
          <w:p>
            <w:pPr>
              <w:keepLines w:val="1"/>
            </w:pPr>
            <w:r>
              <w:t>Art.21.2.e (detección temprana de exposición)</w:t>
            </w:r>
          </w:p>
        </w:tc>
        <w:tc>
          <w:tcPr>
            <w:tcW w:type="dxa" w:w="720"/>
          </w:tcPr>
          <w:p>
            <w:pPr>
              <w:keepLines w:val="1"/>
            </w:pPr>
            <w:r>
              <w:t>Op.exp.4 (monitorización continua)</w:t>
            </w:r>
          </w:p>
        </w:tc>
        <w:tc>
          <w:tcPr>
            <w:tcW w:type="dxa" w:w="720"/>
          </w:tcPr>
          <w:p>
            <w:pPr>
              <w:keepLines w:val="1"/>
            </w:pPr>
            <w:r>
              <w:t>Art.9.4 (detección temprana)</w:t>
            </w:r>
          </w:p>
        </w:tc>
        <w:tc>
          <w:tcPr>
            <w:tcW w:type="dxa" w:w="720"/>
          </w:tcPr>
          <w:p>
            <w:pPr>
              <w:keepLines w:val="1"/>
            </w:pPr>
            <w:r>
              <w:t>—</w:t>
            </w:r>
          </w:p>
        </w:tc>
        <w:tc>
          <w:tcPr>
            <w:tcW w:type="dxa" w:w="720"/>
          </w:tcPr>
          <w:p>
            <w:pPr>
              <w:keepLines w:val="1"/>
            </w:pPr>
            <w:r>
              <w:t>A.12.6.1 (detección de vulnerabilidades nuevas)</w:t>
            </w:r>
          </w:p>
        </w:tc>
        <w:tc>
          <w:tcPr>
            <w:tcW w:type="dxa" w:w="720"/>
          </w:tcPr>
          <w:p>
            <w:pPr>
              <w:keepLines w:val="1"/>
            </w:pPr>
            <w:r>
              <w:t>DE.CM-8 (escaneo de vulnerabilidades)</w:t>
            </w:r>
          </w:p>
        </w:tc>
        <w:tc>
          <w:tcPr>
            <w:tcW w:type="dxa" w:w="720"/>
          </w:tcPr>
          <w:p>
            <w:pPr>
              <w:keepLines w:val="1"/>
            </w:pPr>
            <w:r>
              <w:t>Art.13.2.c (monitorización activa)</w:t>
            </w:r>
          </w:p>
        </w:tc>
        <w:tc>
          <w:tcPr>
            <w:tcW w:type="dxa" w:w="720"/>
          </w:tcPr>
          <w:p>
            <w:pPr>
              <w:keepLines w:val="1"/>
            </w:pPr>
            <w:r>
              <w:t>SR 6.1</w:t>
            </w:r>
          </w:p>
        </w:tc>
        <w:tc>
          <w:tcPr>
            <w:tcW w:type="dxa" w:w="720"/>
          </w:tcPr>
          <w:p>
            <w:pPr>
              <w:keepLines w:val="1"/>
            </w:pPr>
            <w:r>
              <w:t>IMC-D4</w:t>
            </w:r>
          </w:p>
        </w:tc>
        <w:tc>
          <w:tcPr>
            <w:tcW w:type="dxa" w:w="720"/>
          </w:tcPr>
          <w:p>
            <w:pPr>
              <w:keepLines w:val="1"/>
            </w:pPr>
            <w:r>
              <w:t>Recomendado</w:t>
            </w:r>
          </w:p>
        </w:tc>
        <w:tc>
          <w:tcPr>
            <w:tcW w:type="dxa" w:w="720"/>
          </w:tcPr>
          <w:p>
            <w:pPr>
              <w:keepLines w:val="1"/>
            </w:pPr>
            <w:r>
              <w:t>Registros ASM con timestamps de primera detección externa vs. fecha de publicación CVE; análisis de tendencia de TMDE; plan de mejora</w:t>
            </w:r>
          </w:p>
        </w:tc>
      </w:tr>
    </w:tbl>
    <w:p/>
    <w:p>
      <w:pPr>
        <w:pStyle w:val="Heading2"/>
        <w:keepNext/>
        <w:keepLines/>
      </w:pPr>
      <w:r>
        <w:rPr>
          <w:color w:val="0066CC"/>
        </w:rPr>
        <w:t>TABLA RESUMEN: MÉTRICAS POR OBLIGATORIEDAD NORMATIVA</w:t>
      </w:r>
    </w:p>
    <w:p>
      <w:pPr>
        <w:pStyle w:val="Heading3"/>
        <w:keepNext/>
        <w:keepLines/>
      </w:pPr>
      <w:r>
        <w:t>Métricas de cumplimiento obligatorio (imprescindibles para audit trail regulatorio)</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Métrica</w:t>
            </w:r>
          </w:p>
        </w:tc>
        <w:tc>
          <w:tcPr>
            <w:tcW w:type="dxa" w:w="3120"/>
            <w:shd w:fill="0033CC"/>
          </w:tcPr>
          <w:p>
            <w:pPr>
              <w:keepLines w:val="1"/>
              <w:keepNext w:val="1"/>
            </w:pPr>
            <w:r>
              <w:rPr>
                <w:b/>
                <w:color w:val="FFFFFF"/>
              </w:rPr>
              <w:t>Marco normativo principal</w:t>
            </w:r>
          </w:p>
        </w:tc>
        <w:tc>
          <w:tcPr>
            <w:tcW w:type="dxa" w:w="3120"/>
            <w:shd w:fill="0033CC"/>
          </w:tcPr>
          <w:p>
            <w:pPr>
              <w:keepLines w:val="1"/>
              <w:keepNext w:val="1"/>
            </w:pPr>
            <w:r>
              <w:rPr>
                <w:b/>
                <w:color w:val="FFFFFF"/>
              </w:rPr>
              <w:t>Artículo/Requisito específico</w:t>
            </w:r>
          </w:p>
        </w:tc>
      </w:tr>
      <w:tr>
        <w:trPr>
          <w:cantSplit w:val="1"/>
        </w:trPr>
        <w:tc>
          <w:tcPr>
            <w:tcW w:type="dxa" w:w="3120"/>
          </w:tcPr>
          <w:p>
            <w:pPr>
              <w:keepLines w:val="1"/>
              <w:keepNext w:val="1"/>
            </w:pPr>
            <w:r>
              <w:t>D.M1 — ALE</w:t>
            </w:r>
          </w:p>
        </w:tc>
        <w:tc>
          <w:tcPr>
            <w:tcW w:type="dxa" w:w="3120"/>
          </w:tcPr>
          <w:p>
            <w:pPr>
              <w:keepLines w:val="1"/>
              <w:keepNext w:val="1"/>
            </w:pPr>
            <w:r>
              <w:t>NIS2 + DORA</w:t>
            </w:r>
          </w:p>
        </w:tc>
        <w:tc>
          <w:tcPr>
            <w:tcW w:type="dxa" w:w="3120"/>
          </w:tcPr>
          <w:p>
            <w:pPr>
              <w:keepLines w:val="1"/>
              <w:keepNext w:val="1"/>
            </w:pPr>
            <w:r>
              <w:t>NIS2 Art.21.2.a; DORA Art.6.a</w:t>
            </w:r>
          </w:p>
        </w:tc>
      </w:tr>
      <w:tr>
        <w:trPr>
          <w:cantSplit w:val="1"/>
        </w:trPr>
        <w:tc>
          <w:tcPr>
            <w:tcW w:type="dxa" w:w="3120"/>
          </w:tcPr>
          <w:p>
            <w:pPr>
              <w:keepLines w:val="1"/>
              <w:keepNext w:val="1"/>
            </w:pPr>
            <w:r>
              <w:t>D.M2 — IEAC</w:t>
            </w:r>
          </w:p>
        </w:tc>
        <w:tc>
          <w:tcPr>
            <w:tcW w:type="dxa" w:w="3120"/>
          </w:tcPr>
          <w:p>
            <w:pPr>
              <w:keepLines w:val="1"/>
              <w:keepNext w:val="1"/>
            </w:pPr>
            <w:r>
              <w:t>NIS2 + ENS</w:t>
            </w:r>
          </w:p>
        </w:tc>
        <w:tc>
          <w:tcPr>
            <w:tcW w:type="dxa" w:w="3120"/>
          </w:tcPr>
          <w:p>
            <w:pPr>
              <w:keepLines w:val="1"/>
              <w:keepNext w:val="1"/>
            </w:pPr>
            <w:r>
              <w:t>NIS2 Art.21.2.f; ENS Org.1</w:t>
            </w:r>
          </w:p>
        </w:tc>
      </w:tr>
      <w:tr>
        <w:trPr>
          <w:cantSplit w:val="1"/>
        </w:trPr>
        <w:tc>
          <w:tcPr>
            <w:tcW w:type="dxa" w:w="3120"/>
          </w:tcPr>
          <w:p>
            <w:pPr>
              <w:keepLines w:val="1"/>
              <w:keepNext w:val="1"/>
            </w:pPr>
            <w:r>
              <w:t>D.M3 — RTO gap</w:t>
            </w:r>
          </w:p>
        </w:tc>
        <w:tc>
          <w:tcPr>
            <w:tcW w:type="dxa" w:w="3120"/>
          </w:tcPr>
          <w:p>
            <w:pPr>
              <w:keepLines w:val="1"/>
              <w:keepNext w:val="1"/>
            </w:pPr>
            <w:r>
              <w:t>DORA + NIS2</w:t>
            </w:r>
          </w:p>
        </w:tc>
        <w:tc>
          <w:tcPr>
            <w:tcW w:type="dxa" w:w="3120"/>
          </w:tcPr>
          <w:p>
            <w:pPr>
              <w:keepLines w:val="1"/>
              <w:keepNext w:val="1"/>
            </w:pPr>
            <w:r>
              <w:t>DORA Art.11; NIS2 Art.21.2.c</w:t>
            </w:r>
          </w:p>
        </w:tc>
      </w:tr>
      <w:tr>
        <w:trPr>
          <w:cantSplit w:val="1"/>
        </w:trPr>
        <w:tc>
          <w:tcPr>
            <w:tcW w:type="dxa" w:w="3120"/>
          </w:tcPr>
          <w:p>
            <w:pPr>
              <w:keepLines w:val="1"/>
              <w:keepNext w:val="1"/>
            </w:pPr>
            <w:r>
              <w:t>D.M4 — TBNO</w:t>
            </w:r>
          </w:p>
        </w:tc>
        <w:tc>
          <w:tcPr>
            <w:tcW w:type="dxa" w:w="3120"/>
          </w:tcPr>
          <w:p>
            <w:pPr>
              <w:keepLines w:val="1"/>
              <w:keepNext w:val="1"/>
            </w:pPr>
            <w:r>
              <w:t>GDPR + NIS2</w:t>
            </w:r>
          </w:p>
        </w:tc>
        <w:tc>
          <w:tcPr>
            <w:tcW w:type="dxa" w:w="3120"/>
          </w:tcPr>
          <w:p>
            <w:pPr>
              <w:keepLines w:val="1"/>
              <w:keepNext w:val="1"/>
            </w:pPr>
            <w:r>
              <w:t>GDPR Art.33-34; NIS2 Art.23.1</w:t>
            </w:r>
          </w:p>
        </w:tc>
      </w:tr>
      <w:tr>
        <w:trPr>
          <w:cantSplit w:val="1"/>
        </w:trPr>
        <w:tc>
          <w:tcPr>
            <w:tcW w:type="dxa" w:w="3120"/>
          </w:tcPr>
          <w:p>
            <w:pPr>
              <w:keepLines w:val="1"/>
              <w:keepNext w:val="1"/>
            </w:pPr>
            <w:r>
              <w:t>D.M5 — TMCD</w:t>
            </w:r>
          </w:p>
        </w:tc>
        <w:tc>
          <w:tcPr>
            <w:tcW w:type="dxa" w:w="3120"/>
          </w:tcPr>
          <w:p>
            <w:pPr>
              <w:keepLines w:val="1"/>
              <w:keepNext w:val="1"/>
            </w:pPr>
            <w:r>
              <w:t>NIS2</w:t>
            </w:r>
          </w:p>
        </w:tc>
        <w:tc>
          <w:tcPr>
            <w:tcW w:type="dxa" w:w="3120"/>
          </w:tcPr>
          <w:p>
            <w:pPr>
              <w:keepLines w:val="1"/>
              <w:keepNext w:val="1"/>
            </w:pPr>
            <w:r>
              <w:t>NIS2 Art.23.1 (alerta 24h)</w:t>
            </w:r>
          </w:p>
        </w:tc>
      </w:tr>
      <w:tr>
        <w:trPr>
          <w:cantSplit w:val="1"/>
        </w:trPr>
        <w:tc>
          <w:tcPr>
            <w:tcW w:type="dxa" w:w="3120"/>
          </w:tcPr>
          <w:p>
            <w:pPr>
              <w:keepLines w:val="1"/>
              <w:keepNext w:val="1"/>
            </w:pPr>
            <w:r>
              <w:t>R.M1 — MTTR</w:t>
            </w:r>
          </w:p>
        </w:tc>
        <w:tc>
          <w:tcPr>
            <w:tcW w:type="dxa" w:w="3120"/>
          </w:tcPr>
          <w:p>
            <w:pPr>
              <w:keepLines w:val="1"/>
              <w:keepNext w:val="1"/>
            </w:pPr>
            <w:r>
              <w:t>NIS2 + CRA</w:t>
            </w:r>
          </w:p>
        </w:tc>
        <w:tc>
          <w:tcPr>
            <w:tcW w:type="dxa" w:w="3120"/>
          </w:tcPr>
          <w:p>
            <w:pPr>
              <w:keepLines w:val="1"/>
              <w:keepNext w:val="1"/>
            </w:pPr>
            <w:r>
              <w:t>NIS2 Art.21.2.e; CRA Art.13.2.c</w:t>
            </w:r>
          </w:p>
        </w:tc>
      </w:tr>
      <w:tr>
        <w:trPr>
          <w:cantSplit w:val="1"/>
        </w:trPr>
        <w:tc>
          <w:tcPr>
            <w:tcW w:type="dxa" w:w="3120"/>
          </w:tcPr>
          <w:p>
            <w:pPr>
              <w:keepLines w:val="1"/>
              <w:keepNext w:val="1"/>
            </w:pPr>
            <w:r>
              <w:t>E.M2 — TCKEV</w:t>
            </w:r>
          </w:p>
        </w:tc>
        <w:tc>
          <w:tcPr>
            <w:tcW w:type="dxa" w:w="3120"/>
          </w:tcPr>
          <w:p>
            <w:pPr>
              <w:keepLines w:val="1"/>
              <w:keepNext w:val="1"/>
            </w:pPr>
            <w:r>
              <w:t>NIS2 Art.21.3 ("estado del arte")</w:t>
            </w:r>
          </w:p>
        </w:tc>
        <w:tc>
          <w:tcPr>
            <w:tcW w:type="dxa" w:w="3120"/>
          </w:tcPr>
          <w:p>
            <w:pPr>
              <w:keepLines w:val="1"/>
              <w:keepNext w:val="1"/>
            </w:pPr>
            <w:r>
              <w:t>Evidencia de gestión proactiva de KEV</w:t>
            </w:r>
          </w:p>
        </w:tc>
      </w:tr>
      <w:tr>
        <w:trPr>
          <w:cantSplit w:val="1"/>
        </w:trPr>
        <w:tc>
          <w:tcPr>
            <w:tcW w:type="dxa" w:w="3120"/>
          </w:tcPr>
          <w:p>
            <w:pPr>
              <w:keepLines w:val="1"/>
              <w:keepNext w:val="1"/>
            </w:pPr>
            <w:r>
              <w:t>E.M4 — TMCE</w:t>
            </w:r>
          </w:p>
        </w:tc>
        <w:tc>
          <w:tcPr>
            <w:tcW w:type="dxa" w:w="3120"/>
          </w:tcPr>
          <w:p>
            <w:pPr>
              <w:keepLines w:val="1"/>
              <w:keepNext w:val="1"/>
            </w:pPr>
            <w:r>
              <w:t>NIS2 + DORA</w:t>
            </w:r>
          </w:p>
        </w:tc>
        <w:tc>
          <w:tcPr>
            <w:tcW w:type="dxa" w:w="3120"/>
          </w:tcPr>
          <w:p>
            <w:pPr>
              <w:keepLines w:val="1"/>
              <w:keepNext w:val="1"/>
            </w:pPr>
            <w:r>
              <w:t>NIS2 Art.21.2.b; DORA Art.19.4</w:t>
            </w:r>
          </w:p>
        </w:tc>
      </w:tr>
      <w:tr>
        <w:trPr>
          <w:cantSplit w:val="1"/>
        </w:trPr>
        <w:tc>
          <w:tcPr>
            <w:tcW w:type="dxa" w:w="3120"/>
          </w:tcPr>
          <w:p>
            <w:pPr>
              <w:keepLines w:val="1"/>
              <w:keepNext w:val="1"/>
            </w:pPr>
            <w:r>
              <w:t>E.M5 — ICCAE</w:t>
            </w:r>
          </w:p>
        </w:tc>
        <w:tc>
          <w:tcPr>
            <w:tcW w:type="dxa" w:w="3120"/>
          </w:tcPr>
          <w:p>
            <w:pPr>
              <w:keepLines w:val="1"/>
              <w:keepNext w:val="1"/>
            </w:pPr>
            <w:r>
              <w:t>NIS2 + ENS + DORA</w:t>
            </w:r>
          </w:p>
        </w:tc>
        <w:tc>
          <w:tcPr>
            <w:tcW w:type="dxa" w:w="3120"/>
          </w:tcPr>
          <w:p>
            <w:pPr>
              <w:keepLines w:val="1"/>
              <w:keepNext w:val="1"/>
            </w:pPr>
            <w:r>
              <w:t>NIS2 Art.21.2.g; ENS Mp.si.3; DORA Art.9.3</w:t>
            </w:r>
          </w:p>
        </w:tc>
      </w:tr>
      <w:tr>
        <w:trPr>
          <w:cantSplit w:val="1"/>
        </w:trPr>
        <w:tc>
          <w:tcPr>
            <w:tcW w:type="dxa" w:w="3120"/>
          </w:tcPr>
          <w:p>
            <w:pPr>
              <w:keepLines w:val="1"/>
              <w:keepNext w:val="1"/>
            </w:pPr>
            <w:r>
              <w:t>A.M1 — UMPA</w:t>
            </w:r>
          </w:p>
        </w:tc>
        <w:tc>
          <w:tcPr>
            <w:tcW w:type="dxa" w:w="3120"/>
          </w:tcPr>
          <w:p>
            <w:pPr>
              <w:keepLines w:val="1"/>
              <w:keepNext w:val="1"/>
            </w:pPr>
            <w:r>
              <w:t>NIS2</w:t>
            </w:r>
          </w:p>
        </w:tc>
        <w:tc>
          <w:tcPr>
            <w:tcW w:type="dxa" w:w="3120"/>
          </w:tcPr>
          <w:p>
            <w:pPr>
              <w:keepLines w:val="1"/>
              <w:keepNext w:val="1"/>
            </w:pPr>
            <w:r>
              <w:t>NIS2 Art.23.3 (umbral "gran magnitud")</w:t>
            </w:r>
          </w:p>
        </w:tc>
      </w:tr>
      <w:tr>
        <w:trPr>
          <w:cantSplit w:val="1"/>
        </w:trPr>
        <w:tc>
          <w:tcPr>
            <w:tcW w:type="dxa" w:w="3120"/>
          </w:tcPr>
          <w:p>
            <w:pPr>
              <w:keepLines w:val="1"/>
              <w:keepNext w:val="1"/>
            </w:pPr>
            <w:r>
              <w:t>A.M2 — IUVA</w:t>
            </w:r>
          </w:p>
        </w:tc>
        <w:tc>
          <w:tcPr>
            <w:tcW w:type="dxa" w:w="3120"/>
          </w:tcPr>
          <w:p>
            <w:pPr>
              <w:keepLines w:val="1"/>
              <w:keepNext w:val="1"/>
            </w:pPr>
            <w:r>
              <w:t>GDPR</w:t>
            </w:r>
          </w:p>
        </w:tc>
        <w:tc>
          <w:tcPr>
            <w:tcW w:type="dxa" w:w="3120"/>
          </w:tcPr>
          <w:p>
            <w:pPr>
              <w:keepLines w:val="1"/>
              <w:keepNext w:val="1"/>
            </w:pPr>
            <w:r>
              <w:t>GDPR Art.9 (datos categoría especial)</w:t>
            </w:r>
          </w:p>
        </w:tc>
      </w:tr>
      <w:tr>
        <w:trPr>
          <w:cantSplit w:val="1"/>
        </w:trPr>
        <w:tc>
          <w:tcPr>
            <w:tcW w:type="dxa" w:w="3120"/>
          </w:tcPr>
          <w:p>
            <w:pPr>
              <w:keepLines w:val="1"/>
              <w:keepNext w:val="1"/>
            </w:pPr>
            <w:r>
              <w:t>A.M3 — TMNU</w:t>
            </w:r>
          </w:p>
        </w:tc>
        <w:tc>
          <w:tcPr>
            <w:tcW w:type="dxa" w:w="3120"/>
          </w:tcPr>
          <w:p>
            <w:pPr>
              <w:keepLines w:val="1"/>
              <w:keepNext w:val="1"/>
            </w:pPr>
            <w:r>
              <w:t>GDPR + NIS2</w:t>
            </w:r>
          </w:p>
        </w:tc>
        <w:tc>
          <w:tcPr>
            <w:tcW w:type="dxa" w:w="3120"/>
          </w:tcPr>
          <w:p>
            <w:pPr>
              <w:keepLines w:val="1"/>
              <w:keepNext w:val="1"/>
            </w:pPr>
            <w:r>
              <w:t>GDPR Art.33 (72h AEPD); NIS2 Art.23.2</w:t>
            </w:r>
          </w:p>
        </w:tc>
      </w:tr>
      <w:tr>
        <w:trPr>
          <w:cantSplit w:val="1"/>
        </w:trPr>
        <w:tc>
          <w:tcPr>
            <w:tcW w:type="dxa" w:w="3120"/>
          </w:tcPr>
          <w:p>
            <w:pPr>
              <w:keepLines w:val="1"/>
              <w:keepNext w:val="1"/>
            </w:pPr>
            <w:r>
              <w:t>A.M5 — CCUC</w:t>
            </w:r>
          </w:p>
        </w:tc>
        <w:tc>
          <w:tcPr>
            <w:tcW w:type="dxa" w:w="3120"/>
          </w:tcPr>
          <w:p>
            <w:pPr>
              <w:keepLines w:val="1"/>
              <w:keepNext w:val="1"/>
            </w:pPr>
            <w:r>
              <w:t>NIS2 + DORA</w:t>
            </w:r>
          </w:p>
        </w:tc>
        <w:tc>
          <w:tcPr>
            <w:tcW w:type="dxa" w:w="3120"/>
          </w:tcPr>
          <w:p>
            <w:pPr>
              <w:keepLines w:val="1"/>
              <w:keepNext w:val="1"/>
            </w:pPr>
            <w:r>
              <w:t>NIS2 Art.21.2.c; DORA Art.11</w:t>
            </w:r>
          </w:p>
        </w:tc>
      </w:tr>
      <w:tr>
        <w:trPr>
          <w:cantSplit w:val="1"/>
        </w:trPr>
        <w:tc>
          <w:tcPr>
            <w:tcW w:type="dxa" w:w="3120"/>
          </w:tcPr>
          <w:p>
            <w:pPr>
              <w:keepLines w:val="1"/>
            </w:pPr>
            <w:r>
              <w:t>Disc.M3 — NSIE</w:t>
            </w:r>
          </w:p>
        </w:tc>
        <w:tc>
          <w:tcPr>
            <w:tcW w:type="dxa" w:w="3120"/>
          </w:tcPr>
          <w:p>
            <w:pPr>
              <w:keepLines w:val="1"/>
            </w:pPr>
            <w:r>
              <w:t>ENS + CRA</w:t>
            </w:r>
          </w:p>
        </w:tc>
        <w:tc>
          <w:tcPr>
            <w:tcW w:type="dxa" w:w="3120"/>
          </w:tcPr>
          <w:p>
            <w:pPr>
              <w:keepLines w:val="1"/>
            </w:pPr>
            <w:r>
              <w:t>ENS Mp.com.2; CRA Art.13.2.d</w:t>
            </w:r>
          </w:p>
        </w:tc>
      </w:tr>
    </w:tbl>
    <w:p/>
    <w:p>
      <w:pPr>
        <w:pStyle w:val="Heading3"/>
        <w:keepNext/>
        <w:keepLines/>
      </w:pPr>
      <w:r>
        <w:t>Métricas de mejor práctica recomendada</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Métrica</w:t>
            </w:r>
          </w:p>
        </w:tc>
        <w:tc>
          <w:tcPr>
            <w:tcW w:type="dxa" w:w="3120"/>
            <w:shd w:fill="0033CC"/>
          </w:tcPr>
          <w:p>
            <w:pPr>
              <w:keepLines w:val="1"/>
              <w:keepNext w:val="1"/>
            </w:pPr>
            <w:r>
              <w:rPr>
                <w:b/>
                <w:color w:val="FFFFFF"/>
              </w:rPr>
              <w:t>Marco normativo de referencia</w:t>
            </w:r>
          </w:p>
        </w:tc>
        <w:tc>
          <w:tcPr>
            <w:tcW w:type="dxa" w:w="3120"/>
            <w:shd w:fill="0033CC"/>
          </w:tcPr>
          <w:p>
            <w:pPr>
              <w:keepLines w:val="1"/>
              <w:keepNext w:val="1"/>
            </w:pPr>
            <w:r>
              <w:rPr>
                <w:b/>
                <w:color w:val="FFFFFF"/>
              </w:rPr>
              <w:t>Fundamento</w:t>
            </w:r>
          </w:p>
        </w:tc>
      </w:tr>
      <w:tr>
        <w:trPr>
          <w:cantSplit w:val="1"/>
        </w:trPr>
        <w:tc>
          <w:tcPr>
            <w:tcW w:type="dxa" w:w="3120"/>
          </w:tcPr>
          <w:p>
            <w:pPr>
              <w:keepLines w:val="1"/>
              <w:keepNext w:val="1"/>
            </w:pPr>
            <w:r>
              <w:t>R.M2 — TVER (EPSS)</w:t>
            </w:r>
          </w:p>
        </w:tc>
        <w:tc>
          <w:tcPr>
            <w:tcW w:type="dxa" w:w="3120"/>
          </w:tcPr>
          <w:p>
            <w:pPr>
              <w:keepLines w:val="1"/>
              <w:keepNext w:val="1"/>
            </w:pPr>
            <w:r>
              <w:t>NIS2 Art.21.2.e + "estado del arte"</w:t>
            </w:r>
          </w:p>
        </w:tc>
        <w:tc>
          <w:tcPr>
            <w:tcW w:type="dxa" w:w="3120"/>
          </w:tcPr>
          <w:p>
            <w:pPr>
              <w:keepLines w:val="1"/>
              <w:keepNext w:val="1"/>
            </w:pPr>
            <w:r>
              <w:t>EPSS como metodología avanzada de priorización</w:t>
            </w:r>
          </w:p>
        </w:tc>
      </w:tr>
      <w:tr>
        <w:trPr>
          <w:cantSplit w:val="1"/>
        </w:trPr>
        <w:tc>
          <w:tcPr>
            <w:tcW w:type="dxa" w:w="3120"/>
          </w:tcPr>
          <w:p>
            <w:pPr>
              <w:keepLines w:val="1"/>
              <w:keepNext w:val="1"/>
            </w:pPr>
            <w:r>
              <w:t>R.M3 — ICEP</w:t>
            </w:r>
          </w:p>
        </w:tc>
        <w:tc>
          <w:tcPr>
            <w:tcW w:type="dxa" w:w="3120"/>
          </w:tcPr>
          <w:p>
            <w:pPr>
              <w:keepLines w:val="1"/>
              <w:keepNext w:val="1"/>
            </w:pPr>
            <w:r>
              <w:t>NIS2 Art.21.2.e + NIST CSF</w:t>
            </w:r>
          </w:p>
        </w:tc>
        <w:tc>
          <w:tcPr>
            <w:tcW w:type="dxa" w:w="3120"/>
          </w:tcPr>
          <w:p>
            <w:pPr>
              <w:keepLines w:val="1"/>
              <w:keepNext w:val="1"/>
            </w:pPr>
            <w:r>
              <w:t>Inteligencia de amenazas con exploits públicos</w:t>
            </w:r>
          </w:p>
        </w:tc>
      </w:tr>
      <w:tr>
        <w:trPr>
          <w:cantSplit w:val="1"/>
        </w:trPr>
        <w:tc>
          <w:tcPr>
            <w:tcW w:type="dxa" w:w="3120"/>
          </w:tcPr>
          <w:p>
            <w:pPr>
              <w:keepLines w:val="1"/>
              <w:keepNext w:val="1"/>
            </w:pPr>
            <w:r>
              <w:t>R.M4 — VEE</w:t>
            </w:r>
          </w:p>
        </w:tc>
        <w:tc>
          <w:tcPr>
            <w:tcW w:type="dxa" w:w="3120"/>
          </w:tcPr>
          <w:p>
            <w:pPr>
              <w:keepLines w:val="1"/>
              <w:keepNext w:val="1"/>
            </w:pPr>
            <w:r>
              <w:t>NIS2 Art.21.2.e + CRA Art.13</w:t>
            </w:r>
          </w:p>
        </w:tc>
        <w:tc>
          <w:tcPr>
            <w:tcW w:type="dxa" w:w="3120"/>
          </w:tcPr>
          <w:p>
            <w:pPr>
              <w:keepLines w:val="1"/>
              <w:keepNext w:val="1"/>
            </w:pPr>
            <w:r>
              <w:t>Gestión proactiva de la ventana de exposición</w:t>
            </w:r>
          </w:p>
        </w:tc>
      </w:tr>
      <w:tr>
        <w:trPr>
          <w:cantSplit w:val="1"/>
        </w:trPr>
        <w:tc>
          <w:tcPr>
            <w:tcW w:type="dxa" w:w="3120"/>
          </w:tcPr>
          <w:p>
            <w:pPr>
              <w:keepLines w:val="1"/>
              <w:keepNext w:val="1"/>
            </w:pPr>
            <w:r>
              <w:t>E.M1 — SMEC</w:t>
            </w:r>
          </w:p>
        </w:tc>
        <w:tc>
          <w:tcPr>
            <w:tcW w:type="dxa" w:w="3120"/>
          </w:tcPr>
          <w:p>
            <w:pPr>
              <w:keepLines w:val="1"/>
              <w:keepNext w:val="1"/>
            </w:pPr>
            <w:r>
              <w:t>NIS2 Art.21.2.e + NIST CSF</w:t>
            </w:r>
          </w:p>
        </w:tc>
        <w:tc>
          <w:tcPr>
            <w:tcW w:type="dxa" w:w="3120"/>
          </w:tcPr>
          <w:p>
            <w:pPr>
              <w:keepLines w:val="1"/>
              <w:keepNext w:val="1"/>
            </w:pPr>
            <w:r>
              <w:t>Scoring de severidad con CVSS v4.0 (actualización "estado del arte")</w:t>
            </w:r>
          </w:p>
        </w:tc>
      </w:tr>
      <w:tr>
        <w:trPr>
          <w:cantSplit w:val="1"/>
        </w:trPr>
        <w:tc>
          <w:tcPr>
            <w:tcW w:type="dxa" w:w="3120"/>
          </w:tcPr>
          <w:p>
            <w:pPr>
              <w:keepLines w:val="1"/>
              <w:keepNext w:val="1"/>
            </w:pPr>
            <w:r>
              <w:t>E.M3 — DREAD-E LLM</w:t>
            </w:r>
          </w:p>
        </w:tc>
        <w:tc>
          <w:tcPr>
            <w:tcW w:type="dxa" w:w="3120"/>
          </w:tcPr>
          <w:p>
            <w:pPr>
              <w:keepLines w:val="1"/>
              <w:keepNext w:val="1"/>
            </w:pPr>
            <w:r>
              <w:t>NIS2 Art.21.2.e + CRA Art.13 (nuevos vectores)</w:t>
            </w:r>
          </w:p>
        </w:tc>
        <w:tc>
          <w:tcPr>
            <w:tcW w:type="dxa" w:w="3120"/>
          </w:tcPr>
          <w:p>
            <w:pPr>
              <w:keepLines w:val="1"/>
              <w:keepNext w:val="1"/>
            </w:pPr>
            <w:r>
              <w:t>Evaluación de explotabilidad en sistemas IA</w:t>
            </w:r>
          </w:p>
        </w:tc>
      </w:tr>
      <w:tr>
        <w:trPr>
          <w:cantSplit w:val="1"/>
        </w:trPr>
        <w:tc>
          <w:tcPr>
            <w:tcW w:type="dxa" w:w="3120"/>
          </w:tcPr>
          <w:p>
            <w:pPr>
              <w:keepLines w:val="1"/>
              <w:keepNext w:val="1"/>
            </w:pPr>
            <w:r>
              <w:t>A.M4 — CUA</w:t>
            </w:r>
          </w:p>
        </w:tc>
        <w:tc>
          <w:tcPr>
            <w:tcW w:type="dxa" w:w="3120"/>
          </w:tcPr>
          <w:p>
            <w:pPr>
              <w:keepLines w:val="1"/>
              <w:keepNext w:val="1"/>
            </w:pPr>
            <w:r>
              <w:t>DORA Art.6.a + MAGERIT</w:t>
            </w:r>
          </w:p>
        </w:tc>
        <w:tc>
          <w:tcPr>
            <w:tcW w:type="dxa" w:w="3120"/>
          </w:tcPr>
          <w:p>
            <w:pPr>
              <w:keepLines w:val="1"/>
              <w:keepNext w:val="1"/>
            </w:pPr>
            <w:r>
              <w:t>Cuantificación financiera por usuario afectado</w:t>
            </w:r>
          </w:p>
        </w:tc>
      </w:tr>
      <w:tr>
        <w:trPr>
          <w:cantSplit w:val="1"/>
        </w:trPr>
        <w:tc>
          <w:tcPr>
            <w:tcW w:type="dxa" w:w="3120"/>
          </w:tcPr>
          <w:p>
            <w:pPr>
              <w:keepLines w:val="1"/>
              <w:keepNext w:val="1"/>
            </w:pPr>
            <w:r>
              <w:t>Disc.M1 — RSAE</w:t>
            </w:r>
          </w:p>
        </w:tc>
        <w:tc>
          <w:tcPr>
            <w:tcW w:type="dxa" w:w="3120"/>
          </w:tcPr>
          <w:p>
            <w:pPr>
              <w:keepLines w:val="1"/>
              <w:keepNext w:val="1"/>
            </w:pPr>
            <w:r>
              <w:t>NIS2 Art.21.2.e + CRA Art.13.2.d</w:t>
            </w:r>
          </w:p>
        </w:tc>
        <w:tc>
          <w:tcPr>
            <w:tcW w:type="dxa" w:w="3120"/>
          </w:tcPr>
          <w:p>
            <w:pPr>
              <w:keepLines w:val="1"/>
              <w:keepNext w:val="1"/>
            </w:pPr>
            <w:r>
              <w:t>ASM como práctica de gestión proactiva de superficie de ataque</w:t>
            </w:r>
          </w:p>
        </w:tc>
      </w:tr>
      <w:tr>
        <w:trPr>
          <w:cantSplit w:val="1"/>
        </w:trPr>
        <w:tc>
          <w:tcPr>
            <w:tcW w:type="dxa" w:w="3120"/>
          </w:tcPr>
          <w:p>
            <w:pPr>
              <w:keepLines w:val="1"/>
              <w:keepNext w:val="1"/>
            </w:pPr>
            <w:r>
              <w:t>Disc.M2 — RDPR</w:t>
            </w:r>
          </w:p>
        </w:tc>
        <w:tc>
          <w:tcPr>
            <w:tcW w:type="dxa" w:w="3120"/>
          </w:tcPr>
          <w:p>
            <w:pPr>
              <w:keepLines w:val="1"/>
              <w:keepNext w:val="1"/>
            </w:pPr>
            <w:r>
              <w:t>NIS2 Art.21.2.h + DORA Art.26</w:t>
            </w:r>
          </w:p>
        </w:tc>
        <w:tc>
          <w:tcPr>
            <w:tcW w:type="dxa" w:w="3120"/>
          </w:tcPr>
          <w:p>
            <w:pPr>
              <w:keepLines w:val="1"/>
              <w:keepNext w:val="1"/>
            </w:pPr>
            <w:r>
              <w:t>Ratio de eficacia del programa de detección</w:t>
            </w:r>
          </w:p>
        </w:tc>
      </w:tr>
      <w:tr>
        <w:trPr>
          <w:cantSplit w:val="1"/>
        </w:trPr>
        <w:tc>
          <w:tcPr>
            <w:tcW w:type="dxa" w:w="3120"/>
          </w:tcPr>
          <w:p>
            <w:pPr>
              <w:keepLines w:val="1"/>
            </w:pPr>
            <w:r>
              <w:t>Disc.M4 — TMDE</w:t>
            </w:r>
          </w:p>
        </w:tc>
        <w:tc>
          <w:tcPr>
            <w:tcW w:type="dxa" w:w="3120"/>
          </w:tcPr>
          <w:p>
            <w:pPr>
              <w:keepLines w:val="1"/>
            </w:pPr>
            <w:r>
              <w:t>NIS2 Art.21.2.e + NIST CSF DE.CM</w:t>
            </w:r>
          </w:p>
        </w:tc>
        <w:tc>
          <w:tcPr>
            <w:tcW w:type="dxa" w:w="3120"/>
          </w:tcPr>
          <w:p>
            <w:pPr>
              <w:keepLines w:val="1"/>
            </w:pPr>
            <w:r>
              <w:t>Monitorización continua de exposición externa</w:t>
            </w:r>
          </w:p>
        </w:tc>
      </w:tr>
    </w:tbl>
    <w:p/>
    <w:p>
      <w:pPr>
        <w:pStyle w:val="Heading2"/>
        <w:keepNext/>
        <w:keepLines/>
      </w:pPr>
      <w:r>
        <w:rPr>
          <w:color w:val="0066CC"/>
        </w:rPr>
        <w:t>NOTA SOBRE LA TRANSPOSICIÓN NIS2 EN ESPAÑA (LCGC-2025)</w:t>
      </w:r>
    </w:p>
    <w:p>
      <w:r>
        <w:t>La Ley de Coordinación y Gobernanza de la Ciberseguridad (LCGC), que transpone NIS2 en España, mantiene los requisitos de notificación de incidentes (Art.23 NIS2) y los requisitos de medidas de gestión de riesgos (Art.21 NIS2) con los mismos plazos y umbrales. Las organizaciones esenciales e importantes identificadas por el CNCS deben implementar los 10 grupos de medidas del Art.21.2 NIS2, para los cuales las métricas de este kit proporcionan la evidencia cuantitativa necesaria para demostrar su implementación efectiva.</w:t>
      </w:r>
    </w:p>
    <w:p>
      <w:r>
        <w:t xml:space="preserve">Para el </w:t>
      </w:r>
      <w:r>
        <w:rPr>
          <w:b/>
        </w:rPr>
        <w:t>sector financiero</w:t>
      </w:r>
      <w:r>
        <w:t xml:space="preserve"> (bancos, aseguradoras, gestoras, infraestructuras de mercado), DORA se aplica de forma directa desde enero de 2025 como lex specialis sobre NIS2 en lo relativo a la resiliencia operativa digital. Las métricas D.M3, E.M4, A.M5 y E.M5 son especialmente críticas para la demostración de cumplimiento DORA ante el Banco de España y la CNMV.</w:t>
      </w:r>
    </w:p>
    <w:p>
      <w:r>
        <w:rPr>
          <w:i/>
        </w:rPr>
        <w:t>Mapeo Normativo · Documento D del Kit GQM+PRAGMATIC DREAD · Abril 2026</w:t>
      </w:r>
      <w:r/>
      <w:r>
        <w:br/>
      </w:r>
      <w:r>
        <w:rPr>
          <w:i/>
        </w:rPr>
        <w:t>Fuentes normativas: NIS2 (2022/2555/UE), ENS (RD 311/2022), DORA (2022/2554/UE), GDPR (2016/679)</w:t>
      </w:r>
      <w:r/>
      <w:r>
        <w:br/>
      </w:r>
      <w:r>
        <w:rPr>
          <w:i/>
        </w:rPr>
        <w:t>CRA (2024/2847/UE), ISO/IEC 27001:2022, NIST CSF 2.0, IEC 62443-2-1, MAGERIT v3, INCIBE-IMC</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