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NORMATIVO DETALLADO</w:t>
      </w:r>
    </w:p>
    <w:p>
      <w:pPr>
        <w:pStyle w:val="Heading2"/>
        <w:keepNext/>
        <w:keepLines/>
      </w:pPr>
      <w:r>
        <w:rPr>
          <w:color w:val="0066CC"/>
        </w:rPr>
        <w:t>Correspondencia entre Preguntas de la Encuesta DREAD y Requisitos Normativos</w:t>
      </w:r>
    </w:p>
    <w:p>
      <w:pPr>
        <w:pStyle w:val="Heading3"/>
        <w:keepNext/>
        <w:keepLines/>
      </w:pPr>
      <w:r>
        <w:t>Kit de Encuesta DREAD · Edición 2025–2026</w:t>
      </w:r>
    </w:p>
    <w:p>
      <w:r>
        <w:rPr>
          <w:i/>
        </w:rPr>
        <w:t>"La regulación sin métricas es teatro. Las métricas sin regulación son experimentos. Esta tabla es el punto donde ambas se dan la mano."</w:t>
      </w:r>
    </w:p>
    <w:p>
      <w:pPr>
        <w:pStyle w:val="Heading2"/>
        <w:keepNext/>
        <w:keepLines/>
      </w:pPr>
      <w:r>
        <w:rPr>
          <w:color w:val="0066CC"/>
        </w:rPr>
        <w:t>LEYENDA DE MARCOS NORMATIVOS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normativo / Estándar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Directiva (UE) 2022/2555 + Anteproyecto LCGC España (enero 2025)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Real Decreto 311/2022 — Esquema Nacional de Seguridad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Reglamento (UE) 2022/2554 — Digital Operational Resilience Act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Reglamento (UE) 2016/679 + LOPDGDD (LO 3/2018)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NIS2-ES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Anteproyecto Ley de Coordinación y Gobernanza de la Ciberseguridad (España, enero 2025)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MAGERIT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Metodología de Análisis y Gestión de Riesgos de los SSII (CCN-CERT)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INCIBE-IMC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Indicadores de Madurez en Ciberseguridad — Metodología GQM (INCIBE)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ENISA-ETL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ENISA Threat Landscape Methodology (agosto 2025)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ISO27001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ISO/IEC 27001:2022 — Sistemas de Gestión de Seguridad de la Información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NIST-CSF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NIST Cybersecurity Framework v2.0 (2024)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IEC62443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IEC 62443 — Ciberseguridad industrial (OT/ICS)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CRA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Cyber Resilience Act (UE, 2024)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MAESTRA DE MAPEO NORMATIVO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 DREAD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/ NIS2-ES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ISO27001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NIST-CSF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MAGERIT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INCIBE-IMC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IEC62443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Observaciones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P0.5 — Identificación como operador esencial/importante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Art.3 + NIS2-ES Arts.4-7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NIS2 Art.3 define entidades esenciales e importantes; NIS2-ES amplía con sectores adicionales para España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P1.2 — Frameworks de evaluación utilizados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Annex I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Arts.5-8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A.6.1.2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GV.RM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Fase III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GQM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NIS2 Art.21.2 exige gestión de riesgos con metodología formal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P2.1 — Evaluación del Daño potencial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 — Daño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Cat. ALTA/MEDIA/BÁSICA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Art.21.2.a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Art.6.1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Art.33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A.8.8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ID.RA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Criterio C/I/D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KRI-01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ENS clasifica sistemas en categorías de seguridad por impacto en C/I/D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P2.2 — Sub-indicadores de Daño considerados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 — Daño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Cat. ALTA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Art.21.2.b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Art.6.2-3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Arts.33-34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A.5.30, A.8.8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ID.RA-01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Valoración activos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KRI-01, KRI-02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Impacto en vidas humanas → IEC62443 para entornos OT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P2.3 — Daño en últimos incidentes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 — Daño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Art.19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Art.33.3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A.5.24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RS.AN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KPI-03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NIS2 Art.23: notificación de incidentes significativos en &lt; 24h / 72h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P2.4 — Vinculación Daño con notificación regulatoria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 — Daño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Art.40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Arts.23-24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Arts.19-20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Arts.33-34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A.5.26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RS.CO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KPI-04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DORA Arts.19-20: clasificación de incidentes y notificación al regulador financiero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P2.5 — Cuantificación financiera del daño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 — Daño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Arts.6-8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A.6.1.2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GV.RM-06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KRI-03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DORA exige cuantificación del impacto financiero para entidades financieras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P3.1 — Evaluación de Reproducibilidad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 — Reproducibilidad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Art.21.2.e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A.8.8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ID.RA-01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Amenaza P.A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KRI-05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ENS exige análisis de amenazas con probabilidad de ocurrencia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P3.2 — Seguimiento de exploits públicos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 — Reproducibilidad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Art.21.2.e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A.8.8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ID.RA-01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KPI-07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CRA Art.13: obligación de monitorizar vulnerabilidades en productos con elementos digitales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P3.3 — Uso del EPSS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 + 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ID.RA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EPSS proporciona probabilidad objetiva que alimenta R y E de DREAD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P3.4 — MTTR de vulnerabilidades críticas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 — Reproducibilidad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Medida 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Art.21.2.e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Art.5.2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A.12.6.1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RC.RP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KPI-08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DORA Art.5.2 exige gestión del riesgo TIC con plazos de remediación definidos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P3.5 — Reproducibilidad en OT/ICS/IoT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 — Reproducibilidad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Anexo I sectores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Full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IEC 62443-3-3: evaluación de amenazas en sistemas de control industrial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P4.1 — Evaluación de la Explotabilidad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 — Explotabilidad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A.8.8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ID.RA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P.A (probabilidad)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KRI-06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ENS: análisis de amenazas incluye probabilidad de explotación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P4.2 — Impacto de IA generativa en Explotabilidad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 — Explotabilidad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A.8.28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ID.RA-05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ENISA ETL 2025 reporta +75% en ataques automatizados con IA; NIS2 exige actualizar análisis de amenazas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P4.3 — Explotabilidad en ataques sobre IA/LLMs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 — Explotabilidad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Art.25 (privacy by design)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A.8.28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ID.RA-05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GDPR Art.25: privacy by design aplica a sistemas de IA que procesan datos personales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P4.4 — Perfiles de atacante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 — Explotabilidad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A.6.1.2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ID.RA-03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Agentes de amenaza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MAGERIT: identificación de agentes de amenaza como parte del análisis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P4.5 — Controles para reducir Explotabilidad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 — Explotabilidad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Measures ENS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Annex 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PR.AA, PR.AC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Salvaguardas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KPI-10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ENS Anexo II: medidas de seguridad clasificadas por dimensión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P5.1 — Cuantificación de usuarios afectados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 — Usuarios Afectados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Categorización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Art.23.3 (incidentes significativos)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Art.19.3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Art.33 (personas afectadas)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A.5.30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ID.RA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Activos: Usuarios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KRI-07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NIS2 Art.23.3: "gran magnitud" → afecta a muchos usuarios o sectores esenciales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P5.2 — Umbrales de usuarios para protocolos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 — Usuarios Afectados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Arts.23-24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Arts.19-20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Arts.33-34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A.5.24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RS.CO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KPI-05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GDPR: notificación a AEPD si &gt; 0 personas físicas afectadas con alto riesgo; NIS2: umbrales propios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P5.3 — Grupos con protección diferenciada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 — Usuarios Afectados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Arts.9-10 (datos especiales)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A.5.34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GDPR Arts.9-10: categorías especiales de datos y personas vulnerables requieren protección reforzada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P5.4 — Escala territorial / sectorial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 — Usuarios Afectados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Art.23 (impacto transfronterizo)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Art.19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GV.SC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NIS2 Art.23: notificación ENISA si impacto transfronterizo; NIS2-ES: CNCS coordina respuesta nacional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P5.5 — Inventario de activos y mapa de afectación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 — Usuarios Afectados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Medida 2 (inventario)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Art.21.2.f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A.8.1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ID.AM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Inventario activos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KPI-01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ENS Medida 2: gestión de activos; NIS2 Art.21.2.f: gestión de activos TIC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P6.1 — Enfoque sobre Descubribilidad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 — Descubribilidad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Art.21.2.e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A.8.8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ID.RA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Vulnerabilidades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KRI-08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ENS prohíbe implícitamente la seguridad por oscuridad como medida única de protección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P6.2 — Vigilancia digital activa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 — Descubribilidad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Art.21.2.h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A.8.16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DE.CM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KPI-09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NIS2 Art.21.2.h: monitorización y análisis de amenazas; NIST-CSF: Detect.Continuous Monitoring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P6.3 — Red team y pentest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 — Descubribilidad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Art.26 (TLPT)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A.8.8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ID.RA-05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DORA Art.26: Threat-Led Penetration Testing (TLPT) obligatorio para entidades financieras significativas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P6.4 — Attack Surface Management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 — Descubribilidad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Art.21.2.e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A.8.8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ID.AM, DE.CM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KPI-11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CRA: obligación de gestionar la superficie de ataque en productos con elementos digitales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P7.1 — Nivel de automatización del scoring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A.8.16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DE.CM, RS.AN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KPI-12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NIS2 Art.21: medidas de gestión de riesgos deben ser proporcionadas al estado del arte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P7.2 — Herramientas de scoring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PILAR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ENS recomienda herramienta PILAR/EAR; NIS2 exige herramientas adecuadas al estado del arte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P7.3 — DREAD con Machine Learning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 (estado del arte)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Art.25 (IA que trata datos)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NIS2 Art.21: "estado del arte" incluye soluciones ML para scoring de amenazas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P7.4 — Frecuencia de revisión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Art.21.2.e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Art.5.5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A.6.1, A.8.8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ID.RA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KPI-13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DORA Art.5.5: revisión periódica del marco de gestión de riesgos TIC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P7.5 — Consistencia inter-analista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A.6.1.2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GV.RM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ISO27001: el SGSI debe garantizar consistencia en la evaluación de riesgos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P8.2 — Alineación con ENS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Full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Full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ENS es de aplicación obligatoria a todas las AAPP y sus proveedores de servicios TIC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P8.3 — Alineación con NIS2 / LCGC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Full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LCGC España (enero 2025): crea CNCS, define entidades, plazos y obligaciones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P8.4 — Alineación con DORA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Full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DORA de aplicación desde enero 2025 para entidades financieras en la UE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P8.5 — KPIs/KRIs al Consejo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Art.20 (gobernanza)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A.5.35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GV.RR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Full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NIS2 Art.20: el órgano de dirección aprueba y supervisa las medidas de gestión de riesgos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P9.1 — Escala nacional en evaluación de riesgos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 — Usuarios Afectados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 + NIS2-ES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GV.SC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NIS2-ES: el CNCS coordinará el análisis de riesgos a nivel nacional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P9.2 — Coordinación con organismos nacionales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Arts.26-27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RS.CO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NIS2 Arts.26-27: cooperación con CSIRTs y Autoridades Competentes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P9.3 — BCP/DRP ante ciberincidentes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 + 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Art.21.2.c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Art.11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A.5.30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RC.RP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KPI-15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DORA Art.11: planes de continuidad del negocio específicos para incidentes TIC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P10.1 — Cultura de ciberseguridad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Art.21.2.g (formación)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A.6.3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PR.AT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NIS2 Art.21.2.g: programas de formación y concienciación como medida obligatoria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P10.2 — Formación en metodologías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Art.21.2.g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Art.13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A.6.3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 PR.AT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DORA Art.13: formación específica en resiliencia operacional digital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P10.3 — Presupuesto de ciberseguridad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Todos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 Art.21 (proporcionalidad)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 Arts.5-6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 A.5.35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 GV.RM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NIS2 Art.21: las medidas deben ser proporcionales al riesgo y a los recursos de la entidad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DE ARTÍCULOS NORMATIVOS CLAVE</w:t>
      </w:r>
    </w:p>
    <w:p>
      <w:pPr>
        <w:pStyle w:val="Heading3"/>
        <w:keepNext/>
        <w:keepLines/>
      </w:pPr>
      <w:r>
        <w:t>NIS2 — Artículos con mayor incidencia en la encuesta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NIS2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relacionadas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Identificación de entidades esenciales e importantes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P0.5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Gobernanza: responsabilidad del órgano de dirección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P8.5, P10.1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Medidas de gestión de riesgos de ciberseguridad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P1.2, P2.1, P4.1, P7.1, P7.4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21.2.a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Políticas de seguridad y análisis de riesgos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P2.1, P3.1, P4.1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21.2.b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Gestión de incidentes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P2.3, P2.4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21.2.c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Continuidad del negocio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P9.3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21.2.e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Seguridad en la cadena de suministro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P3.2, P6.4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21.2.f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Gestión de activos y seguridad en la adquisición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P5.5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21.2.g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Formación y concienciación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P10.1, P10.2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21.2.h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Monitorización continua y análisis de ciberseguridad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P6.2, P7.1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Notificación de incidentes (alerta 24h, notificación 72h, informe final 1 mes)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P2.4, P5.2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Art. 26-27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Cooperación con CSIRTs y Autoridades Competentes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P9.2</w:t>
            </w:r>
          </w:p>
        </w:tc>
      </w:tr>
    </w:tbl>
    <w:p/>
    <w:p>
      <w:pPr>
        <w:pStyle w:val="Heading3"/>
        <w:keepNext/>
        <w:keepLines/>
      </w:pPr>
      <w:r>
        <w:t>ENS — Medidas con mayor incidencia en la encuesta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Medida ENS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relacionadas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Marco Organizativo — Política de 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Todas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P1.2, P8.2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Marco Operacional — Planificación (análisis de riesgos)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Gestión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P2.1, P3.1, P4.1, P5.1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Medida 2 — Gestión de activos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Operacional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P5.5, P6.4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Medida 5 — Gestión de vulnerabilidades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Operacional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P3.2, P3.4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Medida técnica — Monitorización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P6.2, P7.1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Categoría ALTA/MEDIA/BÁSICA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Clasificación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P2.1, P0.4</w:t>
            </w:r>
          </w:p>
        </w:tc>
      </w:tr>
    </w:tbl>
    <w:p/>
    <w:p>
      <w:pPr>
        <w:pStyle w:val="Heading3"/>
        <w:keepNext/>
        <w:keepLines/>
      </w:pPr>
      <w:r>
        <w:t>DORA — Artículos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DORA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relacionadas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Marco de gestión del riesgo TIC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P7.4, P8.4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Política de gestión del riesgo TIC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P2.1, P4.1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Gestión de activos TIC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P5.5, P6.4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Protección y prevención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P4.5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11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Continuidad del negocio y recuperación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P9.3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13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Aprendizaje y evolución / Formación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P10.2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19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Clasificación de incidentes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P2.3, P5.2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Notificación de incidentes graves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P2.4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Art. 26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TLPT (Threat-Led Penetration Testing)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P6.3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NOTAS METODOLÓGICAS SOBRE EL MAPEO</w:t>
      </w:r>
    </w:p>
    <w:p>
      <w:pPr>
        <w:pStyle w:val="ListNumber"/>
        <w:keepLines w:val="1"/>
        <w:keepNext w:val="1"/>
        <w:widowControl w:val="1"/>
      </w:pPr>
      <w:r>
        <w:br/>
        <w:t>Principio de proporcionalidad normativa: NIS2 y ENS aplican el principio de proporcionalidad: las obligaciones son más exigentes para entidades esenciales (categoría ALTA en ENS) que para entidades importantes o básicas. El mapeo refleja los requisitos en su nivel más exigente; cada organización debe calibrar según su categorización real.</w:t>
        <w:br/>
      </w:r>
    </w:p>
    <w:p>
      <w:pPr>
        <w:pStyle w:val="ListNumber"/>
        <w:keepLines w:val="1"/>
        <w:keepNext w:val="1"/>
        <w:widowControl w:val="1"/>
      </w:pPr>
      <w:r>
        <w:br/>
        <w:t>Solapamiento normativo: Muchas preguntas mapeadas a NIS2 también mapean a ISO 27001 y NIST-CSF, ya que NIS2 no prescribe controles específicos sino objetivos de seguridad, y la forma de alcanzarlos puede ser mediante ISO 27001 u otros marcos equivalentes reconocidos por ENISA.</w:t>
        <w:br/>
      </w:r>
    </w:p>
    <w:p>
      <w:pPr>
        <w:pStyle w:val="ListNumber"/>
        <w:keepLines w:val="1"/>
        <w:keepNext w:val="1"/>
        <w:widowControl w:val="1"/>
      </w:pPr>
      <w:r>
        <w:br/>
        <w:t>DORA como lex specialis: Para entidades del sector financiero, DORA prevalece sobre NIS2 como marco sectorial específico en materia de resiliencia digital. El mapeo doble (NIS2 + DORA) en preguntas de gestión de incidentes y continuidad refleja esta relación.</w:t>
        <w:br/>
      </w:r>
    </w:p>
    <w:p>
      <w:pPr>
        <w:pStyle w:val="ListNumber"/>
        <w:keepLines w:val="1"/>
        <w:keepNext w:val="1"/>
        <w:widowControl w:val="1"/>
      </w:pPr>
      <w:r>
        <w:br/>
        <w:t>CRA (Cyber Resilience Act): Plenamente aplicable desde diciembre 2027, pero con obligaciones de diseño seguro y gestión de vulnerabilidades que ya afectan a fabricantes de productos digitales desde 2025 (período transitorio). El mapeo anticipatorio permite a los fabricantes posicionarse con antelación.</w:t>
        <w:br/>
      </w:r>
    </w:p>
    <w:p>
      <w:pPr>
        <w:pStyle w:val="ListNumber"/>
        <w:keepLines w:val="1"/>
        <w:widowControl w:val="1"/>
      </w:pPr>
      <w:r>
        <w:br/>
        <w:t>IEC 62443: Solo aplica a organizaciones con entornos OT/ICS. El mapeo se ha realizado para la versión 62443-3-3 (requisitos de seguridad del sistema) que es la más relevante para la evaluación de reproducibilidad y explotabilidad en sistemas industriales.</w:t>
        <w:br/>
      </w:r>
    </w:p>
    <w:p>
      <w:r>
        <w:rPr>
          <w:b/>
        </w:rPr>
        <w:t>Principio de proporcionalidad normativa:</w:t>
      </w:r>
      <w:r>
        <w:t xml:space="preserve"> NIS2 y ENS aplican el principio de proporcionalidad: las obligaciones son más exigentes para entidades esenciales (categoría ALTA en ENS) que para entidades importantes o básicas. El mapeo refleja los requisitos en su nivel más exigente; cada organización debe calibrar según su categorización real.</w:t>
      </w:r>
    </w:p>
    <w:p>
      <w:r>
        <w:rPr>
          <w:b/>
        </w:rPr>
        <w:t>Solapamiento normativo:</w:t>
      </w:r>
      <w:r>
        <w:t xml:space="preserve"> Muchas preguntas mapeadas a NIS2 también mapean a ISO 27001 y NIST-CSF, ya que NIS2 no prescribe controles específicos sino objetivos de seguridad, y la forma de alcanzarlos puede ser mediante ISO 27001 u otros marcos equivalentes reconocidos por ENISA.</w:t>
      </w:r>
    </w:p>
    <w:p>
      <w:r>
        <w:rPr>
          <w:b/>
        </w:rPr>
        <w:t>DORA como lex specialis:</w:t>
      </w:r>
      <w:r>
        <w:t xml:space="preserve"> Para entidades del sector financiero, DORA prevalece sobre NIS2 como marco sectorial específico en materia de resiliencia digital. El mapeo doble (NIS2 + DORA) en preguntas de gestión de incidentes y continuidad refleja esta relación.</w:t>
      </w:r>
    </w:p>
    <w:p>
      <w:r>
        <w:rPr>
          <w:b/>
        </w:rPr>
        <w:t>CRA (Cyber Resilience Act):</w:t>
      </w:r>
      <w:r>
        <w:t xml:space="preserve"> Plenamente aplicable desde diciembre 2027, pero con obligaciones de diseño seguro y gestión de vulnerabilidades que ya afectan a fabricantes de productos digitales desde 2025 (período transitorio). El mapeo anticipatorio permite a los fabricantes posicionarse con antelación.</w:t>
      </w:r>
    </w:p>
    <w:p>
      <w:r>
        <w:rPr>
          <w:b/>
        </w:rPr>
        <w:t>IEC 62443:</w:t>
      </w:r>
      <w:r>
        <w:t xml:space="preserve"> Solo aplica a organizaciones con entornos OT/ICS. El mapeo se ha realizado para la versión 62443-3-3 (requisitos de seguridad del sistema) que es la más relevante para la evaluación de reproducibilidad y explotabilidad en sistemas industriales.</w:t>
      </w:r>
    </w:p>
    <w:p>
      <w:r>
        <w:rPr>
          <w:i/>
        </w:rPr>
        <w:t>Kit de Encuesta DREAD · Mapeo Normativo v1.0 · Abril 2026</w:t>
      </w:r>
      <w:r/>
      <w:r>
        <w:br/>
      </w:r>
      <w:r>
        <w:rPr>
          <w:i/>
        </w:rPr>
        <w:t>Basado en: NIS2 (2022/2555), ENS RD 311/2022, DORA (2022/2554), GDPR (2016/679), ISO/IEC 27001:2022, NIST CSF v2.0, IEC 62443, CRA (UE 2024), INCIBE-IMC, MAGERIT v3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