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PLANTILLA DE EXCEL: CÁLCULO IGM-DREAD Y ROI DE CIBERSEGURIDAD</w:t>
      </w:r>
    </w:p>
    <w:p>
      <w:pPr>
        <w:pStyle w:val="Heading2"/>
        <w:keepNext/>
        <w:keepLines/>
      </w:pPr>
      <w:r>
        <w:rPr>
          <w:color w:val="0066CC"/>
        </w:rPr>
        <w:t>Especificación técnica completa para implementación inmediata</w:t>
      </w:r>
    </w:p>
    <w:p>
      <w:pPr>
        <w:pStyle w:val="Heading3"/>
        <w:keepNext/>
        <w:keepLines/>
      </w:pPr>
      <w:r>
        <w:t>Kit GQM+PRAGMATIC · Hoja de Cálculo · Edición 2025–2026</w:t>
      </w:r>
    </w:p>
    <w:p>
      <w:r>
        <w:rPr>
          <w:i/>
        </w:rPr>
        <w:t>"Excel no resuelve los problemas de ciberseguridad, pero sí revela con cruel claridad cuáles son. Y a veces, eso es exactamente lo que el comité de dirección necesita ver."</w:t>
      </w:r>
    </w:p>
    <w:p>
      <w:pPr>
        <w:pStyle w:val="Heading2"/>
        <w:keepNext/>
        <w:keepLines/>
      </w:pPr>
      <w:r>
        <w:rPr>
          <w:color w:val="0066CC"/>
        </w:rPr>
        <w:t>VISIÓN GENERAL DEL LIBRO DE CÁLCULO</w:t>
      </w:r>
    </w:p>
    <w:p>
      <w:r>
        <w:rPr>
          <w:b/>
        </w:rPr>
        <w:t>Nombre del fichero recomendado:</w:t>
      </w:r>
      <w:r>
        <w:t xml:space="preserve"> </w:t>
      </w:r>
      <w:r>
        <w:rPr>
          <w:rFonts w:ascii="Courier New" w:hAnsi="Courier New"/>
          <w:sz w:val="18"/>
        </w:rPr>
        <w:t>IGM_DREAD_GQM_PRAGMATIC_v1.0_[ORGANIZACIÓN]_[AÑO].xlsx</w:t>
      </w:r>
      <w:r/>
      <w:r>
        <w:br/>
      </w:r>
      <w:r>
        <w:rPr>
          <w:b/>
        </w:rPr>
        <w:t>Número de hojas:</w:t>
      </w:r>
      <w:r>
        <w:t xml:space="preserve"> 9</w:t>
      </w:r>
      <w:r/>
      <w:r>
        <w:br/>
      </w:r>
      <w:r>
        <w:rPr>
          <w:b/>
        </w:rPr>
        <w:t>Tecnología:</w:t>
      </w:r>
      <w:r>
        <w:t xml:space="preserve"> Microsoft Excel 2019+ / Google Sheets / LibreOffice Calc</w:t>
      </w:r>
      <w:r/>
      <w:r>
        <w:br/>
      </w:r>
      <w:r>
        <w:rPr>
          <w:b/>
        </w:rPr>
        <w:t>Usuarios objetivo:</w:t>
      </w:r>
      <w:r>
        <w:t xml:space="preserve"> CISO, Analista de Riesgos, Gestor de Vulnerabilidades, CFO (hoja ROI)</w:t>
      </w:r>
    </w:p>
    <w:p>
      <w:pPr>
        <w:pStyle w:val="Heading2"/>
        <w:keepNext/>
        <w:keepLines/>
      </w:pPr>
      <w:r>
        <w:rPr>
          <w:color w:val="0066CC"/>
        </w:rPr>
        <w:t>DESCRIPCIÓN DE LAS 9 HOJAS</w:t>
      </w:r>
    </w:p>
    <w:p>
      <w:pPr>
        <w:pStyle w:val="Heading3"/>
        <w:keepNext/>
        <w:keepLines/>
      </w:pPr>
      <w:r>
        <w:t>HOJA 1: INICIO — Portada e instrucciones de uso</w:t>
      </w:r>
    </w:p>
    <w:p>
      <w:r>
        <w:rPr>
          <w:b/>
        </w:rPr>
        <w:t>Propósito:</w:t>
      </w:r>
      <w:r>
        <w:t xml:space="preserve"> Portada del libro de cálculo con metadatos del análisis e instrucciones de navegación.</w:t>
      </w:r>
    </w:p>
    <w:p>
      <w:r>
        <w:rPr>
          <w:b/>
        </w:rPr>
        <w:t>Campos obligatorios a cumplimentar: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Descripción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Ejemplo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Organización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Nombre completo de la entidad analizada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ACME S.A.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CIF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Identificador fiscal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B12345678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Sector NIS2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Sector según clasificación NIS2/LCGC-2025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Energía (Anexo I)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Clasificación ENS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Nivel de clasificación ENS aplicable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Alto / Medio / Básico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CISO responsable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Nombre y cargo del responsable del análisis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Juan García, CISO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Fecha de análisis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Fecha de inicio del análisis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2026-04-08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Período analizado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Período de referencia de los datos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Q1 2026 (ene-mar 2026)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Versión del kit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Versión del marco GQM+PRAGMATIC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v1.0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Siguiente revisión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Fecha prevista de la próxima actualización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2026-07-08</w:t>
            </w:r>
          </w:p>
        </w:tc>
      </w:tr>
    </w:tbl>
    <w:p/>
    <w:p>
      <w:r>
        <w:rPr>
          <w:b/>
        </w:rPr>
        <w:t>Instrucciones de navegación:</w:t>
      </w:r>
      <w:r>
        <w:t xml:space="preserve"> Cada hoja tiene una pestaña codificada por color:</w:t>
      </w:r>
      <w:r/>
      <w:r>
        <w:br/>
        <w:t>- 🔴 Rojo: Hojas de entrada de datos (requieren cumplimentación manual)</w:t>
      </w:r>
      <w:r/>
      <w:r>
        <w:br/>
        <w:t>- 🟡 Amarillo: Hojas de cálculo automático (no editar fórmulas sin autorización)</w:t>
      </w:r>
      <w:r/>
      <w:r>
        <w:br/>
        <w:t>- 🟢 Verde: Hojas de resultados y reportes (solo lectura)</w:t>
      </w:r>
      <w:r/>
      <w:r>
        <w:br/>
        <w:t>- 🔵 Azul: Hojas de configuración y parámetros (editar con precaución)</w:t>
      </w:r>
    </w:p>
    <w:p>
      <w:pPr>
        <w:pStyle w:val="Heading3"/>
        <w:keepNext/>
        <w:keepLines/>
      </w:pPr>
      <w:r>
        <w:t>HOJA 2: DATOS_ENCUESTA — Entrada de datos de la encuesta organizativa</w:t>
      </w:r>
    </w:p>
    <w:p>
      <w:r>
        <w:rPr>
          <w:b/>
        </w:rPr>
        <w:t>Propósito:</w:t>
      </w:r>
      <w:r>
        <w:t xml:space="preserve"> Registro de las respuestas cuantitativas obtenidas de la encuesta a responsables de seguridad.</w:t>
      </w:r>
    </w:p>
    <w:p>
      <w:r>
        <w:rPr>
          <w:b/>
        </w:rPr>
        <w:t>Estructura de la tabla (columnas A–R):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A: ID_Pregunta         → Identificador de la pregunta de la encuesta (P01–P60)</w:t>
        <w:br/>
        <w:t>B: Dimensión_DREAD     → D / R / E / A / Disc</w:t>
        <w:br/>
        <w:t>C: ID_Métrica_GQM      → D.M1, R.M1, E.M2, etc.</w:t>
        <w:br/>
        <w:t>D: Nombre_Métrica      → Nombre completo de la métrica</w:t>
        <w:br/>
        <w:t>E: Valor_Actual        → Valor reportado por la organización (número)</w:t>
        <w:br/>
        <w:t>F: Unidad              → %, €, días, horas, número, ratio</w:t>
        <w:br/>
        <w:t>G: Fecha_Medición      → Fecha de la última medición (AAAA-MM-DD)</w:t>
        <w:br/>
        <w:t>H: Fuente_Dato         → Sistema origen (SIEM, VM tool, ITSM, manual, etc.)</w:t>
        <w:br/>
        <w:t>I: Confianza_Dato      → 1=Baja / 2=Media / 3=Alta (evaluación del analista)</w:t>
        <w:br/>
        <w:t>J: Umbral_Objetivo     → Valor objetivo establecido por la organización</w:t>
        <w:br/>
        <w:t>K: Umbral_Alerta       → Valor de alerta (entre objetivo y crítico)</w:t>
        <w:br/>
        <w:t>L: Umbral_Critico      → Valor de criticidad según norma aplicable</w:t>
        <w:br/>
        <w:t>M: Estado_Semáforo     → Fórmula automática: VERDE/AMARILLO/ROJO</w:t>
        <w:br/>
        <w:t>N: Norma_Principal     → Marco normativo de referencia (NIS2/ENS/DORA/GDPR)</w:t>
        <w:br/>
        <w:t>O: Score_DREAD_Dim     → Puntuación DREAD para esta dimensión (1-10)</w:t>
        <w:br/>
        <w:t>P: Score_PRAGMATIC     → Puntuación PRAGMATIC de la métrica (0-90)</w:t>
        <w:br/>
        <w:t>Q: Peso_IGM            → Peso de la métrica en el IGM global (suma = 100%)</w:t>
        <w:br/>
        <w:t>R: Notas               → Observaciones del analista, limitaciones, excepciones</w:t>
        <w:br/>
      </w:r>
    </w:p>
    <w:p>
      <w:r>
        <w:rPr>
          <w:b/>
        </w:rPr>
        <w:t>Reglas de validación:</w:t>
      </w:r>
      <w:r/>
      <w:r>
        <w:br/>
        <w:t>- Columna E: Solo números (no texto). Si el dato no está disponible, usar -1 y documentar en columna R.</w:t>
      </w:r>
      <w:r/>
      <w:r>
        <w:br/>
        <w:t>- Columna I: Lista desplegable: 1=Baja, 2=Media, 3=Alta.</w:t>
      </w:r>
      <w:r/>
      <w:r>
        <w:br/>
        <w:t>- Columna M: Fórmula automática basada en comparación con umbrales:</w:t>
      </w:r>
      <w:r/>
      <w:r>
        <w:br/>
      </w:r>
      <w:r>
        <w:rPr>
          <w:rFonts w:ascii="Courier New" w:hAnsi="Courier New"/>
          <w:sz w:val="18"/>
        </w:rPr>
        <w:t>=SI(E2&lt;=J2,"🟢 VERDE",SI(E2&lt;=K2,"🟡 AMARILLO","🔴 ROJO"))</w:t>
      </w:r>
      <w:r/>
      <w:r>
        <w:br/>
        <w:t xml:space="preserve">  (Nota: La dirección de la comparación se invierte para métricas donde "mayor = mejor", como ICCAE o CCUC)</w:t>
      </w:r>
      <w:r/>
      <w:r>
        <w:br/>
        <w:t xml:space="preserve">- Columna Q: Los pesos deben sumar 100%. Se proporciona una fila de verificación con la fórmula </w:t>
      </w:r>
      <w:r>
        <w:rPr>
          <w:rFonts w:ascii="Courier New" w:hAnsi="Courier New"/>
          <w:sz w:val="18"/>
        </w:rPr>
        <w:t>=SUMA(Q2:Q24)</w:t>
      </w:r>
      <w:r>
        <w:t>.</w:t>
      </w:r>
    </w:p>
    <w:p>
      <w:r>
        <w:rPr>
          <w:b/>
        </w:rPr>
        <w:t>Tabla de pesos por defecto (IGM estándar):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Dimensión DREAD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Peso dimensión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Distribución interna sugerida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D — Daño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30%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D.M1(8%)+D.M2(5%)+D.M3(9%)+D.M4(4%)+D.M5(4%)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R — Reproducibilidad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20%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R.M1(7%)+R.M2(7%)+R.M3(3%)+R.M4(3%)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E — Explotabilidad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20%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E.M1(3%)+E.M2(8%)+E.M3(2%)+E.M4(4%)+E.M5(3%)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 — Usuarios Afectados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20%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A.M1(6%)+A.M2(3%)+A.M3(5%)+A.M4(3%)+A.M5(3%)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Disc — Descubribilidad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10%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Disc.M1(3%)+Disc.M2(3%)+Disc.M3(2%)+Disc.M4(2%)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TOTAL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100%</w:t>
            </w:r>
          </w:p>
        </w:tc>
        <w:tc>
          <w:tcPr>
            <w:tcW w:type="dxa" w:w="3120"/>
          </w:tcPr>
          <w:p>
            <w:pPr>
              <w:keepLines w:val="1"/>
            </w:pPr>
            <w:r/>
          </w:p>
        </w:tc>
      </w:tr>
    </w:tbl>
    <w:p/>
    <w:p>
      <w:pPr>
        <w:pStyle w:val="Heading3"/>
        <w:keepNext/>
        <w:keepLines/>
      </w:pPr>
      <w:r>
        <w:t>HOJA 3: IGM_POR_DIMENSIÓN — Cálculo del Índice de Gestión de Métricas por dimensión DREAD</w:t>
      </w:r>
    </w:p>
    <w:p>
      <w:r>
        <w:rPr>
          <w:b/>
        </w:rPr>
        <w:t>Propósito:</w:t>
      </w:r>
      <w:r>
        <w:t xml:space="preserve"> Cálculo automático del IGM para cada una de las cinco dimensiones DREAD.</w:t>
      </w:r>
    </w:p>
    <w:p>
      <w:r>
        <w:rPr>
          <w:b/>
        </w:rPr>
        <w:t>Estructura de cálculo para cada dimensión:</w:t>
      </w:r>
    </w:p>
    <w:p>
      <w:r>
        <w:t>Para cada dimensión D, R, E, A, Disc se calcula: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IGM_Dim = Σ(Valor_Normalizado_i × Peso_i) / Σ(Peso_i)</w:t>
        <w:br/>
      </w:r>
    </w:p>
    <w:p>
      <w:r>
        <w:t>Donde: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Valor_Normalizado_i = (Valor_Actual_i - Umbral_Crítico_i) / (Umbral_Objetivo_i - Umbral_Crítico_i)</w:t>
        <w:br/>
        <w:t>Valor_Normalizado_i = MAX(0, MIN(1, Valor_Normalizado_i))   ← Clamping 0-1</w:t>
        <w:br/>
      </w:r>
    </w:p>
    <w:p>
      <w:r>
        <w:rPr>
          <w:b/>
        </w:rPr>
        <w:t>Tabla de visualización por dimensión: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cantSplit w:val="1"/>
        </w:trPr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Dimensión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IGM_Dim (0-100)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Nivel de madurez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Estado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Tendencia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D — Daño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[fórmula]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[semáforo]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[texto]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[flecha]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R — Reproducibilidad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[fórmula]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[semáforo]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[texto]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[flecha]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E — Explotabilidad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[fórmula]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[semáforo]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[texto]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[flecha]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A — Usuarios Afectados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[fórmula]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[semáforo]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[texto]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[flecha]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</w:pPr>
            <w:r>
              <w:t>Disc — Descubribilidad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[fórmula]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[semáforo]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[texto]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[flecha]</w:t>
            </w:r>
          </w:p>
        </w:tc>
      </w:tr>
    </w:tbl>
    <w:p/>
    <w:p>
      <w:r>
        <w:rPr>
          <w:b/>
        </w:rPr>
        <w:t>Escala de madurez IGM_Dim:</w:t>
      </w:r>
      <w:r/>
      <w:r>
        <w:br/>
        <w:t>- 85–100: Madurez Optimizada (Nivel 5)</w:t>
      </w:r>
      <w:r/>
      <w:r>
        <w:br/>
        <w:t>- 70–84: Madurez Gestionada (Nivel 4)</w:t>
      </w:r>
      <w:r/>
      <w:r>
        <w:br/>
        <w:t>- 55–69: Madurez Definida (Nivel 3)</w:t>
      </w:r>
      <w:r/>
      <w:r>
        <w:br/>
        <w:t>- 40–54: Madurez en Desarrollo (Nivel 2)</w:t>
      </w:r>
      <w:r/>
      <w:r>
        <w:br/>
        <w:t>- &lt; 40: Madurez Inicial (Nivel 1)</w:t>
      </w:r>
    </w:p>
    <w:p>
      <w:r>
        <w:rPr>
          <w:b/>
        </w:rPr>
        <w:t>Gráfico radar automático:</w:t>
      </w:r>
      <w:r>
        <w:t xml:space="preserve"> Esta hoja incluye un gráfico radar (tipo spider) con los 5 valores IGM_Dim, que visualiza el perfil de madurez DREAD de la organización. El gráfico muestra también el valor benchmark sectorial (si está disponible en HOJA 7).</w:t>
      </w:r>
    </w:p>
    <w:p>
      <w:pPr>
        <w:pStyle w:val="Heading3"/>
        <w:keepNext/>
        <w:keepLines/>
      </w:pPr>
      <w:r>
        <w:t>HOJA 4: IGM_GLOBAL — Cálculo del IGM Global Ponderado</w:t>
      </w:r>
    </w:p>
    <w:p>
      <w:r>
        <w:rPr>
          <w:b/>
        </w:rPr>
        <w:t>Propósito:</w:t>
      </w:r>
      <w:r>
        <w:t xml:space="preserve"> Cálculo del Índice de Gestión de Métricas (IGM) global de la organización y comparativa con benchmarks.</w:t>
      </w:r>
    </w:p>
    <w:p>
      <w:r>
        <w:rPr>
          <w:b/>
        </w:rPr>
        <w:t>Fórmula IGM Global: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IGM_Global = Σ(IGM_Dim_i × Peso_Dim_i)</w:t>
        <w:br/>
        <w:t xml:space="preserve">           = IGM_D×0.30 + IGM_R×0.20 + IGM_E×0.20 + IGM_A×0.20 + IGM_Disc×0.10</w:t>
        <w:br/>
      </w:r>
    </w:p>
    <w:p>
      <w:r>
        <w:rPr>
          <w:b/>
        </w:rPr>
        <w:t>Panel principal de la hoja: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┌─────────────────────────────────────────────────────────────┐</w:t>
        <w:br/>
        <w:t>│                    IGM GLOBAL DREAD                         │</w:t>
        <w:br/>
        <w:t>│                                                             │</w:t>
        <w:br/>
        <w:t>│         [Valor IGM_Global]  /  100                          │</w:t>
        <w:br/>
        <w:t>│         [Nivel de Madurez]  [Color semáforo]                │</w:t>
        <w:br/>
        <w:t>│                                                             │</w:t>
        <w:br/>
        <w:t>│  Benchmark sector:  [valor de HOJA 7]                       │</w:t>
        <w:br/>
        <w:t>│  Desviación vs. benchmark:  [IGM_Global - Benchmark]        │</w:t>
        <w:br/>
        <w:t>│  Percentil sectorial estimado:  [cálculo]                   │</w:t>
        <w:br/>
        <w:t>└─────────────────────────────────────────────────────────────┘</w:t>
        <w:br/>
      </w:r>
    </w:p>
    <w:p>
      <w:r>
        <w:rPr>
          <w:b/>
        </w:rPr>
        <w:t>Presets sectoriales de pesos (seleccionables desde lista desplegable):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cantSplit w:val="1"/>
        </w:trPr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Sector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Peso_D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Peso_R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Peso_E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Peso_A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Peso_Disc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Justificación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Estándar (default)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30%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20%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20%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20%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10%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Marco base GQM-DREAD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Energía/Utilities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35%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15%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15%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25%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10%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Impacto masivo ciudadanos, OT/ICS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Sector Financiero (DORA)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25%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20%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20%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15%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20%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Descubribilidad crítica, DORA compliance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Sanidad/Hospitales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30%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20%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20%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25%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5%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Datos Art.9 GDPR + vidas humanas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Administración Pública (ENS)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30%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20%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20%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20%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10%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ENS mandatorio + ciudadanos como usuarios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Manufactura/OT (IEC 62443)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35%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15%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20%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15%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15%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Explotabilidad OT/ICS elevada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</w:pPr>
            <w:r>
              <w:t>Telecomunicaciones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25%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25%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20%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20%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10%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Reproducibilidad alta en redes masivas</w:t>
            </w:r>
          </w:p>
        </w:tc>
      </w:tr>
    </w:tbl>
    <w:p/>
    <w:p>
      <w:r>
        <w:rPr>
          <w:b/>
        </w:rPr>
        <w:t>Tabla de evolución temporal: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cantSplit w:val="1"/>
        </w:trPr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Período</w:t>
            </w:r>
          </w:p>
        </w:tc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IGM_Global</w:t>
            </w:r>
          </w:p>
        </w:tc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IGM_D</w:t>
            </w:r>
          </w:p>
        </w:tc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IGM_R</w:t>
            </w:r>
          </w:p>
        </w:tc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IGM_E</w:t>
            </w:r>
          </w:p>
        </w:tc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IGM_A</w:t>
            </w:r>
          </w:p>
        </w:tc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IGM_Disc</w:t>
            </w:r>
          </w:p>
        </w:tc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Δ vs. anterior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Q4 2025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[manual]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[m]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[m]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[m]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[m]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[m]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—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Q1 2026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[auto]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[auto]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[auto]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[auto]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[auto]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[auto]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[fórmula]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</w:pPr>
            <w:r>
              <w:t>Q2 2026</w:t>
            </w:r>
          </w:p>
        </w:tc>
        <w:tc>
          <w:tcPr>
            <w:tcW w:type="dxa" w:w="1170"/>
          </w:tcPr>
          <w:p>
            <w:pPr>
              <w:keepLines w:val="1"/>
            </w:pPr>
            <w:r>
              <w:t>[vacío]</w:t>
            </w:r>
          </w:p>
        </w:tc>
        <w:tc>
          <w:tcPr>
            <w:tcW w:type="dxa" w:w="1170"/>
          </w:tcPr>
          <w:p>
            <w:pPr>
              <w:keepLines w:val="1"/>
            </w:pPr>
            <w:r>
              <w:t>...</w:t>
            </w:r>
          </w:p>
        </w:tc>
        <w:tc>
          <w:tcPr>
            <w:tcW w:type="dxa" w:w="1170"/>
          </w:tcPr>
          <w:p>
            <w:pPr>
              <w:keepLines w:val="1"/>
            </w:pPr>
            <w:r>
              <w:t>...</w:t>
            </w:r>
          </w:p>
        </w:tc>
        <w:tc>
          <w:tcPr>
            <w:tcW w:type="dxa" w:w="1170"/>
          </w:tcPr>
          <w:p>
            <w:pPr>
              <w:keepLines w:val="1"/>
            </w:pPr>
            <w:r>
              <w:t>...</w:t>
            </w:r>
          </w:p>
        </w:tc>
        <w:tc>
          <w:tcPr>
            <w:tcW w:type="dxa" w:w="1170"/>
          </w:tcPr>
          <w:p>
            <w:pPr>
              <w:keepLines w:val="1"/>
            </w:pPr>
            <w:r>
              <w:t>...</w:t>
            </w:r>
          </w:p>
        </w:tc>
        <w:tc>
          <w:tcPr>
            <w:tcW w:type="dxa" w:w="1170"/>
          </w:tcPr>
          <w:p>
            <w:pPr>
              <w:keepLines w:val="1"/>
            </w:pPr>
            <w:r>
              <w:t>...</w:t>
            </w:r>
          </w:p>
        </w:tc>
        <w:tc>
          <w:tcPr>
            <w:tcW w:type="dxa" w:w="1170"/>
          </w:tcPr>
          <w:p>
            <w:pPr>
              <w:keepLines w:val="1"/>
            </w:pPr>
            <w:r>
              <w:t>—</w:t>
            </w:r>
          </w:p>
        </w:tc>
      </w:tr>
    </w:tbl>
    <w:p/>
    <w:p>
      <w:pPr>
        <w:pStyle w:val="Heading3"/>
        <w:keepNext/>
        <w:keepLines/>
      </w:pPr>
      <w:r>
        <w:t>HOJA 5: BENCHMARKING — Comparativa sectorial y geográfica</w:t>
      </w:r>
    </w:p>
    <w:p>
      <w:r>
        <w:rPr>
          <w:b/>
        </w:rPr>
        <w:t>Propósito:</w:t>
      </w:r>
      <w:r>
        <w:t xml:space="preserve"> Posicionamiento de la organización respecto a benchmarks sectoriales, nacionales e internacionales.</w:t>
      </w:r>
    </w:p>
    <w:p>
      <w:r>
        <w:rPr>
          <w:b/>
        </w:rPr>
        <w:t>Fuentes de benchmark disponibles:</w:t>
      </w:r>
      <w:r/>
      <w:r>
        <w:br/>
        <w:t>- INCIBE: Informe de Ciberseguridad en España 2025</w:t>
      </w:r>
      <w:r/>
      <w:r>
        <w:br/>
        <w:t>- ENISA: NIS Investments Report 2025</w:t>
      </w:r>
      <w:r/>
      <w:r>
        <w:br/>
        <w:t>- IBM/Ponemon: Cost of a Data Breach Report 2025</w:t>
      </w:r>
      <w:r/>
      <w:r>
        <w:br/>
        <w:t>- Dragos: OT/ICS Cybersecurity Year in Review 2025</w:t>
      </w:r>
      <w:r/>
      <w:r>
        <w:br/>
        <w:t>- Verizon DBIR 2025</w:t>
      </w:r>
    </w:p>
    <w:p>
      <w:r>
        <w:rPr>
          <w:b/>
        </w:rPr>
        <w:t>Tabla de comparativa: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cantSplit w:val="1"/>
        </w:trPr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Métrica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Valor organización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Benchmark España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Benchmark UE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Benchmark Global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Percentil España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MTTR (R.M1) [días]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[org]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[INCIBE]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[ENISA]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[Verizon]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[fórmula]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TVER EPSS&gt;0.5 (R.M2) [%]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[org]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[ENISA]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—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TMCE (E.M4) [horas]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[org]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[INCIBE]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[IBM]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[fórmula]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ALE/facturación (D.M1) [%]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[org]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[IBM]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—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</w:pPr>
            <w:r>
              <w:t>CUA (A.M4) [€/usuario]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[org]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—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[ENISA]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[IBM/Ponemon]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[fórmula]</w:t>
            </w:r>
          </w:p>
        </w:tc>
      </w:tr>
    </w:tbl>
    <w:p/>
    <w:p>
      <w:r>
        <w:rPr>
          <w:b/>
        </w:rPr>
        <w:t>Instrucciones:</w:t>
      </w:r>
      <w:r>
        <w:t xml:space="preserve"> Los valores de benchmark deben actualizarse manualmente al inicio de cada año con los datos de los informes anuales de referencia. Las celdas de benchmark están resaltadas en azul claro y protegidas con contraseña de hoja para evitar edición accidental.</w:t>
      </w:r>
    </w:p>
    <w:p>
      <w:pPr>
        <w:pStyle w:val="Heading3"/>
        <w:keepNext/>
        <w:keepLines/>
      </w:pPr>
      <w:r>
        <w:t>HOJA 6: MODELO_ROI — Cálculo de ROI de la Inversión en Ciberseguridad</w:t>
      </w:r>
    </w:p>
    <w:p>
      <w:r>
        <w:rPr>
          <w:b/>
        </w:rPr>
        <w:t>Propósito:</w:t>
      </w:r>
      <w:r>
        <w:t xml:space="preserve"> Justificación económica de las inversiones en ciberseguridad utilizando las métricas DREAD como base.</w:t>
      </w:r>
    </w:p>
    <w:p>
      <w:r>
        <w:rPr>
          <w:b/>
        </w:rPr>
        <w:t>Sección 1: Parámetros de entrada (celdas editables en amarillo)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Parámetro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Valor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Fuente/Justificación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Facturación anual organización (€)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[INPUT]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Informe anual / CCAA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ALE actual (€/año) — antes de inversión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[=D.M1 actual]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HOJA 2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ALE proyectado (€/año) — tras inversión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[INPUT]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Estimación del analista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Inversión total en ciberseguridad (€)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[INPUT]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Presupuesto aprobado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Período de análisis (años)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[INPUT]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Típicamente 3–5 años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Tasa de descuento (WACC o RF)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[INPUT]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Área financiera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Coste operativo anual de las medidas (€)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[INPUT]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Estimación del analista</w:t>
            </w:r>
          </w:p>
        </w:tc>
      </w:tr>
    </w:tbl>
    <w:p/>
    <w:p>
      <w:r>
        <w:rPr>
          <w:b/>
        </w:rPr>
        <w:t>Sección 2: Cálculo ALE y ROSI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Reducción_ALE = ALE_actual - ALE_proyectado</w:t>
        <w:br/>
        <w:br/>
        <w:t>ROSI = (Reducción_ALE - Coste_operativo_anual) / Inversión_total × 100   [%]</w:t>
        <w:br/>
        <w:br/>
        <w:t>ROSI_NETO = Reducción_ALE - Coste_operativo_anual - (Inversión_total / Período_análisis)</w:t>
        <w:br/>
      </w:r>
    </w:p>
    <w:p>
      <w:r>
        <w:rPr>
          <w:b/>
        </w:rPr>
        <w:t>Sección 3: Análisis NPV y Payback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FCF_año_n = Reducción_ALE - Coste_operativo_anual</w:t>
        <w:br/>
        <w:t>VAN = -Inversión + Σ(FCF_n / (1 + Tasa_descuento)^n)   para n = 1 a Período</w:t>
        <w:br/>
        <w:t>Payback_años = Inversión / FCF_anual_medio</w:t>
        <w:br/>
        <w:t>TIR = [función IRR de Excel sobre flujos de caja]</w:t>
        <w:br/>
      </w:r>
    </w:p>
    <w:p>
      <w:r>
        <w:rPr>
          <w:b/>
        </w:rPr>
        <w:t>Sección 4: Análisis de sensibilidad (tabla bidimensional)</w:t>
      </w:r>
    </w:p>
    <w:p>
      <w:r>
        <w:t>Tabla cruzada de ROSI bajo distintos escenarios de:</w:t>
      </w:r>
      <w:r/>
      <w:r>
        <w:br/>
        <w:t>- Reducción ALE: 20%, 30%, 40%, 50%, 60%</w:t>
      </w:r>
      <w:r/>
      <w:r>
        <w:br/>
        <w:t>- Coste total inversión: 50K€, 100K€, 200K€, 500K€, 1M€</w:t>
      </w:r>
    </w:p>
    <w:p>
      <w:r>
        <w:t>La tabla es generada automáticamente mediante la función de tabla de datos bidimensional de Excel.</w:t>
      </w:r>
    </w:p>
    <w:p>
      <w:r>
        <w:rPr>
          <w:b/>
        </w:rPr>
        <w:t>Sección 5: Justificación ante el Consejo de Administración</w:t>
      </w:r>
    </w:p>
    <w:p>
      <w:r>
        <w:t>Texto automático generado por fórmulas de texto concatenado: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"La inversión de [€ inversión] en [mejoras identificadas] reduce la pérdida</w:t>
        <w:br/>
        <w:t>anual esperada de [ALE_actual] € a [ALE_proyectado] €, lo que supone un</w:t>
        <w:br/>
        <w:t>ahorro neto anual de [reducción_ALE] € y un ROI del [ROSI]% en</w:t>
        <w:br/>
        <w:t>[período] años. El Payback estimado es de [payback] meses."</w:t>
        <w:br/>
      </w:r>
    </w:p>
    <w:p>
      <w:pPr>
        <w:pStyle w:val="Heading3"/>
        <w:keepNext/>
        <w:keepLines/>
      </w:pPr>
      <w:r>
        <w:t>HOJA 7: SCORING_AMENAZAS — Matriz de puntuación DREAD por amenaza</w:t>
      </w:r>
    </w:p>
    <w:p>
      <w:r>
        <w:rPr>
          <w:b/>
        </w:rPr>
        <w:t>Propósito:</w:t>
      </w:r>
      <w:r>
        <w:t xml:space="preserve"> Herramienta de puntuación DREAD para amenazas específicas identificadas por el equipo de seguridad.</w:t>
      </w:r>
    </w:p>
    <w:p>
      <w:r>
        <w:rPr>
          <w:b/>
        </w:rPr>
        <w:t>Estructura de la tabla: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A: ID_Amenaza        → Identificador único (AMZ-001, AMZ-002...)</w:t>
        <w:br/>
        <w:t>B: Nombre_Amenaza    → Descripción breve de la amenaza</w:t>
        <w:br/>
        <w:t>C: CVE/ID_Externo    → Identificador externo si aplica</w:t>
        <w:br/>
        <w:t>D: Fecha_Identificación → Fecha de identificación</w:t>
        <w:br/>
        <w:t>E: Score_D           → Puntuación Daño (1-10)</w:t>
        <w:br/>
        <w:t>F: Score_R           → Puntuación Reproducibilidad (1-10)</w:t>
        <w:br/>
        <w:t>G: Score_E           → Puntuación Explotabilidad (1-10)</w:t>
        <w:br/>
        <w:t>H: Score_A           → Puntuación Usuarios Afectados (1-10)</w:t>
        <w:br/>
        <w:t>I: Score_Disc        → Puntuación Descubribilidad (1-10)</w:t>
        <w:br/>
        <w:t>J: DREAD_Score_Avg   → =PROMEDIO(E:I) — Score DREAD promedio</w:t>
        <w:br/>
        <w:t>K: DREAD_Score_W     → Score ponderado con pesos sectoriales de HOJA 4</w:t>
        <w:br/>
        <w:t>L: Prioridad         → SI(K2&gt;=8,"CRÍTICA",SI(K2&gt;=6,"ALTA",SI(K2&gt;=4,"MEDIA","BAJA")))</w:t>
        <w:br/>
        <w:t>M: EPSS_Score        → Valor EPSS actual (introducir manualmente desde FIRST.org)</w:t>
        <w:br/>
        <w:t>N: En_CISA_KEV       → SÍ/NO (verificación manual o automatizada)</w:t>
        <w:br/>
        <w:t>O: CVSS_Score        → Score CVSS v3.1/v4.0 desde NVD</w:t>
        <w:br/>
        <w:t>P: Score_Compuesto   → =(K2*0.5)+(M2*10*0.3)+(SI(N2="SÍ",10,0)*0.2) — Prioritización combinada</w:t>
        <w:br/>
        <w:t>Q: Estado_Remediación → PENDIENTE / EN_PROGRESO / COMPLETADO / ACEPTADO</w:t>
        <w:br/>
        <w:t>R: Propietario       → Responsable de la remediación</w:t>
        <w:br/>
        <w:t>S: Fecha_Objetivo    → Fecha límite de remediación</w:t>
        <w:br/>
        <w:t>T: Notas             → Observaciones adicionales</w:t>
        <w:br/>
      </w:r>
    </w:p>
    <w:p>
      <w:r>
        <w:rPr>
          <w:b/>
        </w:rPr>
        <w:t>Fórmula de priorización compuesta (columna P):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Score_Compuesto = (DREAD_Weighted × 0.50) + (EPSS × 10 × 0.30) + (KEV_Flag × 10 × 0.20)</w:t>
        <w:br/>
      </w:r>
    </w:p>
    <w:p>
      <w:r>
        <w:t>Esta fórmula combina la valoración interna DREAD (50%), la probabilidad de explotación EPSS (30%) y la presencia en CISA KEV (20%), alineándose con las recomendaciones de KCYERRID (2026) sobre combinación de métodos de priorización.</w:t>
      </w:r>
    </w:p>
    <w:p>
      <w:r>
        <w:rPr>
          <w:b/>
        </w:rPr>
        <w:t>Filtros y ordenación automática:</w:t>
      </w:r>
      <w:r/>
      <w:r>
        <w:br/>
        <w:t>- Botón "Ordenar por Score_Compuesto DESC": ordena la tabla por prioridad de remediación</w:t>
      </w:r>
      <w:r/>
      <w:r>
        <w:br/>
        <w:t>- Filtro "Solo KEV activos": muestra únicamente las amenazas presentes en CISA KEV</w:t>
      </w:r>
      <w:r/>
      <w:r>
        <w:br/>
        <w:t>- Filtro "Solo EPSS &gt; 0.5": muestra amenazas con alta probabilidad de explotación</w:t>
      </w:r>
    </w:p>
    <w:p>
      <w:pPr>
        <w:pStyle w:val="Heading3"/>
        <w:keepNext/>
        <w:keepLines/>
      </w:pPr>
      <w:r>
        <w:t>HOJA 8: DASHBOARD_EJECUTIVO — Panel visual para presentación al Consejo</w:t>
      </w:r>
    </w:p>
    <w:p>
      <w:r>
        <w:rPr>
          <w:b/>
        </w:rPr>
        <w:t>Propósito:</w:t>
      </w:r>
      <w:r>
        <w:t xml:space="preserve"> Vista consolidada de todos los indicadores clave para presentación a la alta dirección.</w:t>
      </w:r>
    </w:p>
    <w:p>
      <w:r>
        <w:rPr>
          <w:b/>
        </w:rPr>
        <w:t>Distribución visual de la hoja (no imprimible, para pantalla):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┌──────────────────┬──────────────────┬──────────────────┐</w:t>
        <w:br/>
        <w:t>│  IGM GLOBAL      │  TOP 3 RIESGOS   │  TENDENCIA IGM   │</w:t>
        <w:br/>
        <w:t>│  [Gauge chart]   │  CRÍTICOS        │  [Line chart]    │</w:t>
        <w:br/>
        <w:t>│  XX.X / 100      │  [lista KEV]     │  (últimos 4 Q)   │</w:t>
        <w:br/>
        <w:t>├──────────────────┼──────────────────┼──────────────────┤</w:t>
        <w:br/>
        <w:t>│  RADAR DREAD     │  SEMÁFORO 23     │  ROI INVERSIÓN   │</w:t>
        <w:br/>
        <w:t>│  [Spider chart]  │  MÉTRICAS        │  ROSI: XX%       │</w:t>
        <w:br/>
        <w:t>│  D-R-E-A-Disc    │  [tabla color]   │  Payback: Xm     │</w:t>
        <w:br/>
        <w:t>├──────────────────┼──────────────────┼──────────────────┤</w:t>
        <w:br/>
        <w:t>│  CUMPLIMIENTO    │  VULNERABILIDADES│  ACCIÓN REQUERI- │</w:t>
        <w:br/>
        <w:t>│  NORMATIVO       │  CRÍTICAS SIN    │  DA: TOP 5 GAPs  │</w:t>
        <w:br/>
        <w:t>│  NIS2/DORA/GDPR  │  REMEDIAR        │  [lista accion.] │</w:t>
        <w:br/>
        <w:t>└──────────────────┴──────────────────┴──────────────────┘</w:t>
        <w:br/>
      </w:r>
    </w:p>
    <w:p>
      <w:r>
        <w:rPr>
          <w:b/>
        </w:rPr>
        <w:t>Configuración de gráficos:</w:t>
      </w:r>
    </w:p>
    <w:p>
      <w:pPr>
        <w:pStyle w:val="ListNumber"/>
        <w:keepLines w:val="1"/>
        <w:keepNext w:val="1"/>
        <w:widowControl w:val="1"/>
      </w:pPr>
      <w:r>
        <w:br/>
        <w:t>Gauge IGM Global: Gráfico de velocímetro (implementado con gráfico de roscas semicircular). Colores: rojo 0-40, naranja 40-55, amarillo 55-70, verde claro 70-85, verde oscuro 85-100.</w:t>
        <w:br/>
      </w:r>
    </w:p>
    <w:p>
      <w:pPr>
        <w:pStyle w:val="ListNumber"/>
        <w:keepLines w:val="1"/>
        <w:keepNext w:val="1"/>
        <w:widowControl w:val="1"/>
      </w:pPr>
      <w:r>
        <w:br/>
        <w:t>Radar DREAD: Gráfico de araña con 5 ejes (D, R, E, A, Disc). Muestra dos series: (a) Valor actual de la organización y (b) Benchmark sectorial (de HOJA 5).</w:t>
        <w:br/>
      </w:r>
    </w:p>
    <w:p>
      <w:pPr>
        <w:pStyle w:val="ListNumber"/>
        <w:keepLines w:val="1"/>
        <w:keepNext w:val="1"/>
        <w:widowControl w:val="1"/>
      </w:pPr>
      <w:r>
        <w:br/>
        <w:t>Línea de tendencia IGM: Gráfico de línea con los valores históricos de IGM_Global (de HOJA 4). Incluye línea de tendencia lineal con proyección a próximo período.</w:t>
        <w:br/>
      </w:r>
    </w:p>
    <w:p>
      <w:pPr>
        <w:pStyle w:val="ListNumber"/>
        <w:keepLines w:val="1"/>
        <w:widowControl w:val="1"/>
      </w:pPr>
      <w:r>
        <w:br/>
        <w:t>Semáforo de 23 métricas: Tabla compacta con una celda por métrica coloreada en verde/amarillo/rojo según el estado calculado en HOJA 2.</w:t>
        <w:br/>
      </w:r>
    </w:p>
    <w:p>
      <w:r>
        <w:rPr>
          <w:b/>
        </w:rPr>
        <w:t>Gauge IGM Global:</w:t>
      </w:r>
      <w:r>
        <w:t xml:space="preserve"> Gráfico de velocímetro (implementado con gráfico de roscas semicircular). Colores: rojo 0-40, naranja 40-55, amarillo 55-70, verde claro 70-85, verde oscuro 85-100.</w:t>
      </w:r>
    </w:p>
    <w:p>
      <w:r>
        <w:rPr>
          <w:b/>
        </w:rPr>
        <w:t>Radar DREAD:</w:t>
      </w:r>
      <w:r>
        <w:t xml:space="preserve"> Gráfico de araña con 5 ejes (D, R, E, A, Disc). Muestra dos series: (a) Valor actual de la organización y (b) Benchmark sectorial (de HOJA 5).</w:t>
      </w:r>
    </w:p>
    <w:p>
      <w:r>
        <w:rPr>
          <w:b/>
        </w:rPr>
        <w:t>Línea de tendencia IGM:</w:t>
      </w:r>
      <w:r>
        <w:t xml:space="preserve"> Gráfico de línea con los valores históricos de IGM_Global (de HOJA 4). Incluye línea de tendencia lineal con proyección a próximo período.</w:t>
      </w:r>
    </w:p>
    <w:p>
      <w:r>
        <w:rPr>
          <w:b/>
        </w:rPr>
        <w:t>Semáforo de 23 métricas:</w:t>
      </w:r>
      <w:r>
        <w:t xml:space="preserve"> Tabla compacta con una celda por métrica coloreada en verde/amarillo/rojo según el estado calculado en HOJA 2.</w:t>
      </w:r>
    </w:p>
    <w:p>
      <w:pPr>
        <w:pStyle w:val="Heading3"/>
        <w:keepNext/>
        <w:keepLines/>
      </w:pPr>
      <w:r>
        <w:t>HOJA 9: CONFIGURACIÓN — Parámetros globales y tablas de referencia</w:t>
      </w:r>
    </w:p>
    <w:p>
      <w:r>
        <w:rPr>
          <w:b/>
        </w:rPr>
        <w:t>Propósito:</w:t>
      </w:r>
      <w:r>
        <w:t xml:space="preserve"> Centralización de todos los parámetros y tablas de referencia utilizados en las demás hojas.</w:t>
      </w:r>
    </w:p>
    <w:p>
      <w:r>
        <w:rPr>
          <w:b/>
        </w:rPr>
        <w:t>Sección A: Umbrales normativos de referencia</w:t>
      </w:r>
    </w:p>
    <w:p>
      <w:r>
        <w:t>Tabla de umbrales por métrica extraída de los requisitos NIS2, ENS, DORA y GDPR. Estos valores se utilizan como umbrales por defecto en HOJA 2 y pueden ser personalizados por la organización con justificación documentada.</w:t>
      </w:r>
    </w:p>
    <w:p>
      <w:r>
        <w:rPr>
          <w:b/>
        </w:rPr>
        <w:t>Sección B: Pesos sectoriales</w:t>
      </w:r>
    </w:p>
    <w:p>
      <w:r>
        <w:t>Tabla completa de pesos por sector (la misma que en HOJA 4) para referencia y modificación.</w:t>
      </w:r>
    </w:p>
    <w:p>
      <w:r>
        <w:rPr>
          <w:b/>
        </w:rPr>
        <w:t>Sección C: Tabla de correspondencia métricas-normas</w:t>
      </w:r>
    </w:p>
    <w:p>
      <w:r>
        <w:t>Resumen compacto del Documento D (Mapeo Normativo) en formato tabla Excel.</w:t>
      </w:r>
    </w:p>
    <w:p>
      <w:r>
        <w:rPr>
          <w:b/>
        </w:rPr>
        <w:t>Sección D: Registro de versiones del libro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Versión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Fecha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Autor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Cambios realizados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1.0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2026-04-08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[CISO]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Versión inicial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1.1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[fecha]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[nombre]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[descripción]</w:t>
            </w:r>
          </w:p>
        </w:tc>
      </w:tr>
    </w:tbl>
    <w:p/>
    <w:p>
      <w:r>
        <w:rPr>
          <w:b/>
        </w:rPr>
        <w:t>Sección E: Glosario de términos</w:t>
      </w:r>
    </w:p>
    <w:p>
      <w:r>
        <w:t>Tabla de definiciones para los términos técnicos usados en el libro, accesible mediante hipervínculos desde las celdas de encabezado de otras hojas.</w:t>
      </w:r>
    </w:p>
    <w:p>
      <w:pPr>
        <w:pStyle w:val="Heading2"/>
        <w:keepNext/>
        <w:keepLines/>
      </w:pPr>
      <w:r>
        <w:rPr>
          <w:color w:val="0066CC"/>
        </w:rPr>
        <w:t>INSTRUCCIONES DE IMPLEMENTACIÓN</w:t>
      </w:r>
    </w:p>
    <w:p>
      <w:pPr>
        <w:pStyle w:val="Heading3"/>
        <w:keepNext/>
        <w:keepLines/>
      </w:pPr>
      <w:r>
        <w:t>Paso 1: Preparación (semana 1)</w:t>
      </w:r>
    </w:p>
    <w:p>
      <w:pPr>
        <w:pStyle w:val="ListNumber"/>
        <w:keepLines w:val="1"/>
        <w:keepNext w:val="1"/>
        <w:widowControl w:val="1"/>
      </w:pPr>
      <w:r>
        <w:t>Descargar la plantilla desde el repositorio del kit</w:t>
      </w:r>
    </w:p>
    <w:p>
      <w:pPr>
        <w:pStyle w:val="ListNumber"/>
        <w:keepLines w:val="1"/>
        <w:keepNext w:val="1"/>
        <w:widowControl w:val="1"/>
      </w:pPr>
      <w:r>
        <w:t>Cumplimentar la HOJA 1 (INICIO) con los metadatos de la organización</w:t>
      </w:r>
    </w:p>
    <w:p>
      <w:pPr>
        <w:pStyle w:val="ListNumber"/>
        <w:keepLines w:val="1"/>
        <w:keepNext w:val="1"/>
        <w:widowControl w:val="1"/>
      </w:pPr>
      <w:r>
        <w:t>Revisar y ajustar los umbrales de la HOJA 9 (CONFIGURACIÓN) al contexto organizativo</w:t>
      </w:r>
    </w:p>
    <w:p>
      <w:pPr>
        <w:pStyle w:val="ListNumber"/>
        <w:keepLines w:val="1"/>
        <w:widowControl w:val="1"/>
      </w:pPr>
      <w:r>
        <w:t>Seleccionar el preset sectorial de pesos en HOJA 4</w:t>
      </w:r>
    </w:p>
    <w:p>
      <w:pPr>
        <w:pStyle w:val="Heading3"/>
        <w:keepNext/>
        <w:keepLines/>
      </w:pPr>
      <w:r>
        <w:t>Paso 2: Recogida de datos (semanas 2-4)</w:t>
      </w:r>
    </w:p>
    <w:p>
      <w:pPr>
        <w:pStyle w:val="ListNumber"/>
        <w:keepLines w:val="1"/>
        <w:keepNext w:val="1"/>
        <w:widowControl w:val="1"/>
      </w:pPr>
      <w:r>
        <w:t>Completar la HOJA 2 (DATOS_ENCUESTA) con los valores actuales de cada métrica</w:t>
      </w:r>
    </w:p>
    <w:p>
      <w:pPr>
        <w:pStyle w:val="ListNumber"/>
        <w:keepLines w:val="1"/>
        <w:keepNext w:val="1"/>
        <w:widowControl w:val="1"/>
      </w:pPr>
      <w:r>
        <w:t>Para cada valor, documentar la fuente y el nivel de confianza (columna I)</w:t>
      </w:r>
    </w:p>
    <w:p>
      <w:pPr>
        <w:pStyle w:val="ListNumber"/>
        <w:keepLines w:val="1"/>
        <w:keepNext w:val="1"/>
        <w:widowControl w:val="1"/>
      </w:pPr>
      <w:r>
        <w:t>Si un dato no está disponible, registrar -1 en columna E y documentar en columna R</w:t>
      </w:r>
    </w:p>
    <w:p>
      <w:pPr>
        <w:pStyle w:val="ListNumber"/>
        <w:keepLines w:val="1"/>
        <w:widowControl w:val="1"/>
      </w:pPr>
      <w:r>
        <w:t>Completar la HOJA 7 (SCORING_AMENAZAS) con las amenazas identificadas</w:t>
      </w:r>
    </w:p>
    <w:p>
      <w:pPr>
        <w:pStyle w:val="Heading3"/>
        <w:keepNext/>
        <w:keepLines/>
      </w:pPr>
      <w:r>
        <w:t>Paso 3: Análisis y validación (semana 5)</w:t>
      </w:r>
    </w:p>
    <w:p>
      <w:pPr>
        <w:pStyle w:val="ListNumber"/>
        <w:keepLines w:val="1"/>
        <w:keepNext w:val="1"/>
        <w:widowControl w:val="1"/>
      </w:pPr>
      <w:r>
        <w:t>Revisar los resultados automáticos de HOJA 3 (IGM por dimensión)</w:t>
      </w:r>
    </w:p>
    <w:p>
      <w:pPr>
        <w:pStyle w:val="ListNumber"/>
        <w:keepLines w:val="1"/>
        <w:keepNext w:val="1"/>
        <w:widowControl w:val="1"/>
      </w:pPr>
      <w:r>
        <w:t>Verificar el IGM Global en HOJA 4 y comparar con benchmarks de HOJA 5</w:t>
      </w:r>
    </w:p>
    <w:p>
      <w:pPr>
        <w:pStyle w:val="ListNumber"/>
        <w:keepLines w:val="1"/>
        <w:keepNext w:val="1"/>
        <w:widowControl w:val="1"/>
      </w:pPr>
      <w:r>
        <w:t>Completar los parámetros del modelo ROI en HOJA 6</w:t>
      </w:r>
    </w:p>
    <w:p>
      <w:pPr>
        <w:pStyle w:val="ListNumber"/>
        <w:keepLines w:val="1"/>
        <w:widowControl w:val="1"/>
      </w:pPr>
      <w:r>
        <w:t>Revisar el DASHBOARD_EJECUTIVO de HOJA 8</w:t>
      </w:r>
    </w:p>
    <w:p>
      <w:pPr>
        <w:pStyle w:val="Heading3"/>
        <w:keepNext/>
        <w:keepLines/>
      </w:pPr>
      <w:r>
        <w:t>Paso 4: Reporting (semana 6)</w:t>
      </w:r>
    </w:p>
    <w:p>
      <w:pPr>
        <w:pStyle w:val="ListNumber"/>
        <w:keepLines w:val="1"/>
        <w:keepNext w:val="1"/>
        <w:widowControl w:val="1"/>
      </w:pPr>
      <w:r>
        <w:t>Exportar el DASHBOARD_EJECUTIVO (HOJA 8) como PDF para presentación al Consejo</w:t>
      </w:r>
    </w:p>
    <w:p>
      <w:pPr>
        <w:pStyle w:val="ListNumber"/>
        <w:keepLines w:val="1"/>
        <w:keepNext w:val="1"/>
        <w:widowControl w:val="1"/>
      </w:pPr>
      <w:r>
        <w:t>Exportar la tabla de amenazas prioritarias de HOJA 7 para el equipo técnico</w:t>
      </w:r>
    </w:p>
    <w:p>
      <w:pPr>
        <w:pStyle w:val="ListNumber"/>
        <w:keepLines w:val="1"/>
        <w:keepNext w:val="1"/>
        <w:widowControl w:val="1"/>
      </w:pPr>
      <w:r>
        <w:t>Documentar el plan de acción para las métricas en estado ROJO</w:t>
      </w:r>
    </w:p>
    <w:p>
      <w:pPr>
        <w:pStyle w:val="ListNumber"/>
        <w:keepLines w:val="1"/>
        <w:widowControl w:val="1"/>
      </w:pPr>
      <w:r>
        <w:t>Programar la próxima revisión (trimestral recomendado para métricas operativas)</w:t>
      </w:r>
    </w:p>
    <w:p>
      <w:pPr>
        <w:pStyle w:val="Heading2"/>
        <w:keepNext/>
        <w:keepLines/>
      </w:pPr>
      <w:r>
        <w:rPr>
          <w:color w:val="0066CC"/>
        </w:rPr>
        <w:t>AUTOMATIZACIÓN AVANZADA (OPCIONAL)</w:t>
      </w:r>
    </w:p>
    <w:p>
      <w:r>
        <w:t>Para organizaciones con capacidad de automatización, se recomienda:</w:t>
      </w:r>
    </w:p>
    <w:p>
      <w:r>
        <w:rPr>
          <w:b/>
        </w:rPr>
        <w:t>Integración con APIs externas (mediante Power Query o Python/VBA):</w:t>
      </w:r>
      <w:r/>
      <w:r>
        <w:br/>
        <w:t xml:space="preserve">- FIRST EPSS API: </w:t>
      </w:r>
      <w:r>
        <w:rPr>
          <w:rFonts w:ascii="Courier New" w:hAnsi="Courier New"/>
          <w:sz w:val="18"/>
        </w:rPr>
        <w:t>https://api.first.org/data/v1/epss?cve=CVE-XXXX-XXXX</w:t>
      </w:r>
      <w:r/>
      <w:r>
        <w:br/>
        <w:t xml:space="preserve">- CISA KEV API: </w:t>
      </w:r>
      <w:r>
        <w:rPr>
          <w:rFonts w:ascii="Courier New" w:hAnsi="Courier New"/>
          <w:sz w:val="18"/>
        </w:rPr>
        <w:t>https://www.cisa.gov/sites/default/files/feeds/known_exploited_vulnerabilities.json</w:t>
      </w:r>
      <w:r/>
      <w:r>
        <w:br/>
        <w:t xml:space="preserve">- NVD API v2.0: </w:t>
      </w:r>
      <w:r>
        <w:rPr>
          <w:rFonts w:ascii="Courier New" w:hAnsi="Courier New"/>
          <w:sz w:val="18"/>
        </w:rPr>
        <w:t>https://services.nvd.nist.gov/rest/json/cves/2.0</w:t>
      </w:r>
    </w:p>
    <w:p>
      <w:r>
        <w:rPr>
          <w:b/>
        </w:rPr>
        <w:t>Script Power Query para actualización diaria de EPSS y KEV: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// Conexión a CISA KEV</w:t>
        <w:br/>
        <w:t>let</w:t>
        <w:br/>
        <w:t xml:space="preserve">    Source = Json.Document(Web.Contents("https://www.cisa.gov/sites/default/files/feeds/known_exploited_vulnerabilities.json")),</w:t>
        <w:br/>
        <w:t xml:space="preserve">    Vulnerabilities = Source[vulnerabilities],</w:t>
        <w:br/>
        <w:t xml:space="preserve">    Table = Table.FromList(Vulnerabilities, Splitter.SplitByNothing(), null, null, ExtraValues.Error),</w:t>
        <w:br/>
        <w:t xml:space="preserve">    ExpandedColumns = Table.ExpandRecordColumn(Table, "Column1", {"cveID", "vendorProject", "product", "vulnerabilityName", "dateAdded", "shortDescription", "requiredAction", "dueDate"})</w:t>
        <w:br/>
        <w:t>in</w:t>
        <w:br/>
        <w:t xml:space="preserve">    ExpandedColumns</w:t>
        <w:br/>
      </w:r>
    </w:p>
    <w:p>
      <w:r>
        <w:rPr>
          <w:i/>
        </w:rPr>
        <w:t>Plantilla Excel IGM-DREAD · Documento E del Kit GQM+PRAGMATIC · Abril 2026</w:t>
      </w:r>
      <w:r/>
      <w:r>
        <w:br/>
      </w:r>
      <w:r>
        <w:rPr>
          <w:i/>
        </w:rPr>
        <w:t>Metodología: FAIR Institute, INCIBE-IMC, NIST SP 800-55, Brotby &amp; Hinson (2013)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