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Informe COBIT.</w:t>
      </w:r>
    </w:p>
    <w:p>
      <w:r>
        <w:t>El núcleo de COBIT 2019 para ciberseguridad a nivel país pasa por usar sus objetivos de gobierno y gestión (sobre todo EDM03, APO12, APO13, DSS04, DSS05, MEA01‑03) como esqueleto de indicadores, y luego “nacionalizarlos” con métricas que se puedan alimentar desde los observatorios e índices de ciberseguridad (NCSI, GCI, etc.) que ya miden a España y al resto del mundo. La gracia está en que COBIT aporta la lógica de gobierno (qué medir, dónde y para qué) y los índices nacionales aportan el termómetro comparativo global.</w:t>
      </w:r>
      <w:r/>
      <w:r>
        <w:rPr/>
        <w:footnoteReference w:id="1"/>
      </w:r>
      <w:r/>
      <w:r>
        <w:rPr/>
        <w:footnoteReference w:id="2"/>
      </w:r>
      <w:r/>
      <w:r>
        <w:rPr/>
        <w:footnoteReference w:id="3"/>
      </w:r>
      <w:r/>
      <w:r>
        <w:rPr/>
        <w:footnoteReference w:id="4"/>
      </w:r>
      <w:r/>
      <w:r>
        <w:rPr/>
        <w:footnoteReference w:id="5"/>
      </w:r>
      <w:r/>
      <w:r>
        <w:rPr/>
        <w:footnoteReference w:id="6"/>
      </w:r>
    </w:p>
    <w:p>
      <w:pPr>
        <w:pStyle w:val="Heading2"/>
        <w:keepNext/>
        <w:keepLines/>
      </w:pPr>
      <w:r>
        <w:rPr>
          <w:color w:val="0066CC"/>
        </w:rPr>
        <w:t>1. COBIT 2019 y su capa de métricas</w:t>
      </w:r>
    </w:p>
    <w:p>
      <w:pPr>
        <w:pStyle w:val="ListBullet"/>
        <w:keepLines w:val="1"/>
        <w:keepNext w:val="1"/>
        <w:widowControl w:val="1"/>
      </w:pPr>
      <w:r>
        <w:t>COBIT 2019 amplía COBIT 5 hasta 40 objetivos de gobierno y gestión agrupados en 5 dominios: EDM, APO, BAI, DSS y MEA.71</w:t>
      </w:r>
    </w:p>
    <w:p>
      <w:pPr>
        <w:pStyle w:val="ListBullet"/>
        <w:keepLines w:val="1"/>
        <w:keepNext w:val="1"/>
        <w:widowControl w:val="1"/>
      </w:pPr>
      <w:r>
        <w:t>ISACA publica para cada objetivo un conjunto de prácticas, actividades y métricas sugeridas de entrada (KGI/KPI), que luego se adaptan al contexto.67</w:t>
      </w:r>
    </w:p>
    <w:p>
      <w:pPr>
        <w:pStyle w:val="ListBullet"/>
        <w:keepLines w:val="1"/>
        <w:keepNext w:val="1"/>
        <w:widowControl w:val="1"/>
      </w:pPr>
      <w:r>
        <w:t>El modelo COBIT Performance Management (CPM) usa niveles de capacidad y madurez alineados con CMMI V2.0 para cuantificar desempeño y evolución.8910</w:t>
      </w:r>
    </w:p>
    <w:p>
      <w:pPr>
        <w:pStyle w:val="ListBullet"/>
        <w:keepLines w:val="1"/>
        <w:widowControl w:val="1"/>
      </w:pPr>
      <w:r>
        <w:t>El foco “Information Security” de COBIT añade métricas específicas de seguridad a los objetivos más críticos (APO13, DSS05, BAI06, etc.).116</w:t>
      </w:r>
    </w:p>
    <w:p>
      <w:r>
        <w:t>Ejemplo sencillo: para APO13 (Managed Security) COBIT propone medir el grado de implantación del SGSI, cumplimiento de políticas y evolución del riesgo residual de información.</w:t>
      </w:r>
      <w:r/>
      <w:r>
        <w:rPr/>
        <w:footnoteReference w:id="3"/>
      </w:r>
      <w:r/>
      <w:r>
        <w:rPr/>
        <w:footnoteReference w:id="12"/>
      </w:r>
      <w:r/>
      <w:r>
        <w:rPr/>
        <w:footnoteReference w:id="13"/>
      </w:r>
    </w:p>
    <w:p>
      <w:pPr>
        <w:pStyle w:val="Heading2"/>
        <w:keepNext/>
        <w:keepLines/>
      </w:pPr>
      <w:r>
        <w:rPr>
          <w:color w:val="0066CC"/>
        </w:rPr>
        <w:t>2. Objetivos COBIT más relevantes para ciberseguridad nacional</w:t>
      </w:r>
    </w:p>
    <w:p>
      <w:r>
        <w:t>Para articular indicadores de nivel país, los objetivos COBIT de seguridad se convierten en “categorías” de medida:</w:t>
      </w:r>
    </w:p>
    <w:p>
      <w:pPr>
        <w:pStyle w:val="ListBullet"/>
        <w:keepLines w:val="1"/>
        <w:keepNext w:val="1"/>
        <w:widowControl w:val="1"/>
      </w:pPr>
      <w:r>
        <w:t>EDM03 – Ensured risk optimization: monitorear objetivos y métricas de gobierno del riesgo, analizar desviaciones y activar acciones correctoras.47</w:t>
      </w:r>
    </w:p>
    <w:p>
      <w:pPr>
        <w:pStyle w:val="ListBullet"/>
        <w:keepLines w:val="1"/>
        <w:keepNext w:val="1"/>
        <w:widowControl w:val="1"/>
      </w:pPr>
      <w:r>
        <w:t>APO12 – Managed Risk: consolidar el perfil de riesgo de I\&amp;T, criterios de apetito/tolerancia y el cumplimiento de los procesos de gestión de riesgos.14123</w:t>
      </w:r>
    </w:p>
    <w:p>
      <w:pPr>
        <w:pStyle w:val="ListBullet"/>
        <w:keepLines w:val="1"/>
        <w:keepNext w:val="1"/>
        <w:widowControl w:val="1"/>
      </w:pPr>
      <w:r>
        <w:t>APO13 – Managed Security: diseñar, operar y vigilar un SGSI empresarial, con plan de seguridad, objetivos y revisión continua.121314</w:t>
      </w:r>
    </w:p>
    <w:p>
      <w:pPr>
        <w:pStyle w:val="ListBullet"/>
        <w:keepLines w:val="1"/>
        <w:keepNext w:val="1"/>
        <w:widowControl w:val="1"/>
      </w:pPr>
      <w:r>
        <w:t>BAI06 – Managed IT Changes: asegurar que los cambios de TI (incluidos de seguridad) se gestionen con evaluación de riesgos y pruebas, minimizando incidentes.113</w:t>
      </w:r>
    </w:p>
    <w:p>
      <w:pPr>
        <w:pStyle w:val="ListBullet"/>
        <w:keepLines w:val="1"/>
        <w:keepNext w:val="1"/>
        <w:widowControl w:val="1"/>
      </w:pPr>
      <w:r>
        <w:t>DSS04 – Managed Continuity: gestión de continuidad y recuperación ante incidentes, incluyendo escenarios de ciberataque masivo.34</w:t>
      </w:r>
    </w:p>
    <w:p>
      <w:pPr>
        <w:pStyle w:val="ListBullet"/>
        <w:keepLines w:val="1"/>
        <w:keepNext w:val="1"/>
        <w:widowControl w:val="1"/>
      </w:pPr>
      <w:r>
        <w:t>DSS05 – Managed Security Services: servicios de seguridad (monitorización, controles de acceso, protección de red/endpoint, gestión de vulnerabilidades, etc.).151211</w:t>
      </w:r>
    </w:p>
    <w:p>
      <w:pPr>
        <w:pStyle w:val="ListBullet"/>
        <w:keepLines w:val="1"/>
        <w:widowControl w:val="1"/>
      </w:pPr>
      <w:r>
        <w:t>MEA01/MEA02/MEA03 – Monitor \&amp; Evaluate: recopilación, validación y evaluación de métricas de desempeño, conformidad y sistema de control interno.157</w:t>
      </w:r>
    </w:p>
    <w:p>
      <w:r>
        <w:t>Estos objetivos son los ladrillos estructurales sobre los que se construye el tablero de indicadores nacionales.</w:t>
      </w:r>
    </w:p>
    <w:p>
      <w:pPr>
        <w:pStyle w:val="Heading2"/>
        <w:keepNext/>
        <w:keepLines/>
      </w:pPr>
      <w:r>
        <w:rPr>
          <w:color w:val="0066CC"/>
        </w:rPr>
        <w:t>3. Tendencias recientes (desde 2025) en indicadores COBIT para ciberseguridad</w:t>
      </w:r>
    </w:p>
    <w:p>
      <w:pPr>
        <w:pStyle w:val="Heading3"/>
        <w:keepNext/>
        <w:keepLines/>
      </w:pPr>
      <w:r>
        <w:t>3.1. De “checklist” a gestión de desempeño (CPM)</w:t>
      </w:r>
    </w:p>
    <w:p>
      <w:pPr>
        <w:pStyle w:val="ListBullet"/>
        <w:keepLines w:val="1"/>
        <w:keepNext w:val="1"/>
        <w:widowControl w:val="1"/>
      </w:pPr>
      <w:r>
        <w:t>La línea de trabajo de ISACA refuerza el uso del modelo COBIT Performance Management para medir el avance respecto a objetivos y KPIs, no solo “cumplir el marco”.16108</w:t>
      </w:r>
    </w:p>
    <w:p>
      <w:pPr>
        <w:pStyle w:val="ListBullet"/>
        <w:keepLines w:val="1"/>
        <w:widowControl w:val="1"/>
      </w:pPr>
      <w:r>
        <w:t>Se promueve vincular cada objetivo (por ejemplo APO13 o DSS05) con KPIs ponderados según su importancia en el Balanced Scorecard de TI: eficacia, eficiencia, satisfacción del negocio y futuro.1716</w:t>
      </w:r>
    </w:p>
    <w:p>
      <w:r>
        <w:t>Traducción práctica a nivel país: dejar de contar solo “cuántas normas tenemos” y empezar a medir cuánto reduce el riesgo o mejora la resiliencia cada iniciativa.</w:t>
      </w:r>
    </w:p>
    <w:p>
      <w:pPr>
        <w:pStyle w:val="Heading3"/>
        <w:keepNext/>
        <w:keepLines/>
      </w:pPr>
      <w:r>
        <w:t>3.2. Profundización del área de Seguridad de la Información</w:t>
      </w:r>
    </w:p>
    <w:p>
      <w:pPr>
        <w:pStyle w:val="ListBullet"/>
        <w:keepLines w:val="1"/>
        <w:keepNext w:val="1"/>
        <w:widowControl w:val="1"/>
      </w:pPr>
      <w:r>
        <w:t>El “Focus Area: Information Security” de COBIT desarrolla prácticas y métricas específicas de seguridad a partir del modelo base, destacando APO13 y DSS05 como ejes.611</w:t>
      </w:r>
    </w:p>
    <w:p>
      <w:pPr>
        <w:pStyle w:val="ListBullet"/>
        <w:keepLines w:val="1"/>
        <w:widowControl w:val="1"/>
      </w:pPr>
      <w:r>
        <w:t>Estudios recientes usan COBIT 2019 junto con ISO 27001 para evaluar 10‑12 dominios de seguridad (EDM03, APO11‑13, BAI06, BAI10, DSS02‑06) con indicadores de madurez promedio y brechas frente al nivel objetivo.123</w:t>
      </w:r>
    </w:p>
    <w:p>
      <w:r>
        <w:t>Esto se presta muy bien a cuadros nacionales de madurez sectorial (sanidad, energía, financiero…) usando la misma lógica de métricas.</w:t>
      </w:r>
    </w:p>
    <w:p>
      <w:pPr>
        <w:pStyle w:val="Heading3"/>
        <w:keepNext/>
        <w:keepLines/>
      </w:pPr>
      <w:r>
        <w:t>3.3. Convergencia con NIST CSF y marcos nacionales</w:t>
      </w:r>
    </w:p>
    <w:p>
      <w:pPr>
        <w:pStyle w:val="ListBullet"/>
        <w:keepLines w:val="1"/>
        <w:keepNext w:val="1"/>
        <w:widowControl w:val="1"/>
      </w:pPr>
      <w:r>
        <w:t>ISACA publicó una guía específica para implementar el NIST Cybersecurity Framework usando COBIT 2019, alineando funciones Identify‑Protect‑Detect‑Respond‑Recover con objetivos como APO12, APO13, DSS04‑05, MEA01.1814</w:t>
      </w:r>
    </w:p>
    <w:p>
      <w:pPr>
        <w:pStyle w:val="ListBullet"/>
        <w:keepLines w:val="1"/>
        <w:widowControl w:val="1"/>
      </w:pPr>
      <w:r>
        <w:t>Trabajos académicos y revisiones bibliográficas proponen COBIT 2019 como esqueleto de gobierno complementado con NIST CSF para la capa táctica de controles.214</w:t>
      </w:r>
    </w:p>
    <w:p>
      <w:r>
        <w:t>En clave española, esto facilita la alineación con el Esquema Nacional de Seguridad y con las exigencias de la Directiva NIS2.</w:t>
      </w:r>
    </w:p>
    <w:p>
      <w:pPr>
        <w:pStyle w:val="Heading3"/>
        <w:keepNext/>
        <w:keepLines/>
      </w:pPr>
      <w:r>
        <w:t>3.4. Uso intensivo de modelos de madurez</w:t>
      </w:r>
    </w:p>
    <w:p>
      <w:pPr>
        <w:pStyle w:val="ListBullet"/>
        <w:keepLines w:val="1"/>
        <w:keepNext w:val="1"/>
        <w:widowControl w:val="1"/>
      </w:pPr>
      <w:r>
        <w:t>Se están proponiendo metodologías nuevas de evaluación de madurez COBIT 2019 para cuantificar el desempeño de la gobernanza de TI y seguridad.910</w:t>
      </w:r>
    </w:p>
    <w:p>
      <w:pPr>
        <w:pStyle w:val="ListBullet"/>
        <w:keepLines w:val="1"/>
        <w:widowControl w:val="1"/>
      </w:pPr>
      <w:r>
        <w:t>Casos de estudio recientes muestran análisis de brechas donde subdominios como APO13 o DSS05 se valoran en niveles CMMI (ej. nivel 2 frente a objetivo 4) y se vinculan a indicadores cuantitativos (incidentes, tiempos de respuesta, etc.).1912</w:t>
      </w:r>
    </w:p>
    <w:p>
      <w:r>
        <w:t>Aplicado a un país, esto permite informes de “madurez media nacional por dominio COBIT”, comparables entre países.</w:t>
      </w:r>
    </w:p>
    <w:p>
      <w:pPr>
        <w:pStyle w:val="Heading2"/>
        <w:keepNext/>
        <w:keepLines/>
      </w:pPr>
      <w:r>
        <w:rPr>
          <w:color w:val="0066CC"/>
        </w:rPr>
        <w:t>4. Propuesta de indicadores COBIT de ciberseguridad a nivel nacional (España)</w:t>
      </w:r>
    </w:p>
    <w:p>
      <w:r>
        <w:t>A partir de los objetivos y tendencias anteriores, se pueden proponer indicadores “COBIT‑compatibles” para una encuesta o informe nacional. Aquí va una selección, con tono apto para encuesta inquisitiva pero civilizada.</w:t>
      </w:r>
    </w:p>
    <w:p>
      <w:pPr>
        <w:pStyle w:val="Heading3"/>
        <w:keepNext/>
        <w:keepLines/>
      </w:pPr>
      <w:r>
        <w:t>4.1. EDM03 – Gobierno y optimización del riesgo</w:t>
      </w:r>
    </w:p>
    <w:p>
      <w:pPr>
        <w:pStyle w:val="ListBullet"/>
        <w:keepLines w:val="1"/>
        <w:keepNext w:val="1"/>
        <w:widowControl w:val="1"/>
      </w:pPr>
      <w:r>
        <w:t>Porcentaje de organismos con una función formal de gobierno de ciberseguridad que reporte a nivel ejecutivo (ministro, secretario de Estado, etc.).54</w:t>
      </w:r>
    </w:p>
    <w:p>
      <w:pPr>
        <w:pStyle w:val="ListBullet"/>
        <w:keepLines w:val="1"/>
        <w:keepNext w:val="1"/>
        <w:widowControl w:val="1"/>
      </w:pPr>
      <w:r>
        <w:t>Existencia y actualización de una estrategia nacional de ciberseguridad con objetivos cuantificados y revisados periódicamente.5</w:t>
      </w:r>
    </w:p>
    <w:p>
      <w:pPr>
        <w:pStyle w:val="ListBullet"/>
        <w:keepLines w:val="1"/>
        <w:widowControl w:val="1"/>
      </w:pPr>
      <w:r>
        <w:t>Nivel de integración de la ciberseguridad en los mecanismos de gobierno corporativo de empresas críticas (consejos, comités de riesgo).2</w:t>
      </w:r>
    </w:p>
    <w:p>
      <w:r>
        <w:t>Preguntas tipo encuesta:</w:t>
      </w:r>
    </w:p>
    <w:p>
      <w:pPr>
        <w:pStyle w:val="ListBullet"/>
        <w:keepLines w:val="1"/>
        <w:keepNext w:val="1"/>
        <w:widowControl w:val="1"/>
      </w:pPr>
      <w:r>
        <w:t>“¿Con qué frecuencia revisa el máximo órgano de gobierno de su organización (consejo, comité ejecutivo) los indicadores de riesgo de ciberseguridad alineados con COBIT (EDM03/EDM05)?”</w:t>
      </w:r>
    </w:p>
    <w:p>
      <w:pPr>
        <w:pStyle w:val="ListBullet"/>
        <w:keepLines w:val="1"/>
        <w:widowControl w:val="1"/>
      </w:pPr>
      <w:r>
        <w:t>“¿Dispone su organización de apetito y tolerancia al riesgo de ciberseguridad formalmente aprobados y aplicados en decisiones de inversión?”</w:t>
      </w:r>
    </w:p>
    <w:p>
      <w:pPr>
        <w:pStyle w:val="Heading3"/>
        <w:keepNext/>
        <w:keepLines/>
      </w:pPr>
      <w:r>
        <w:t>4.2. APO12 – Gestión del riesgo de TI</w:t>
      </w:r>
    </w:p>
    <w:p>
      <w:r>
        <w:t>Indicadores:</w:t>
      </w:r>
    </w:p>
    <w:p>
      <w:pPr>
        <w:pStyle w:val="ListBullet"/>
        <w:keepLines w:val="1"/>
        <w:keepNext w:val="1"/>
        <w:widowControl w:val="1"/>
      </w:pPr>
      <w:r>
        <w:t>Porcentaje de organizaciones que han definido, documentado y aplicado un proceso de gestión de riesgos de TI alineado con COBIT APO12 y marcos nacionales.20143</w:t>
      </w:r>
    </w:p>
    <w:p>
      <w:pPr>
        <w:pStyle w:val="ListBullet"/>
        <w:keepLines w:val="1"/>
        <w:keepNext w:val="1"/>
        <w:widowControl w:val="1"/>
      </w:pPr>
      <w:r>
        <w:t>Cobertura de activos críticos identificados y evaluados (porcentaje de sistemas críticos con análisis de riesgos documentado en los últimos 12 meses).</w:t>
      </w:r>
    </w:p>
    <w:p>
      <w:pPr>
        <w:pStyle w:val="ListBullet"/>
        <w:keepLines w:val="1"/>
        <w:widowControl w:val="1"/>
      </w:pPr>
      <w:r>
        <w:t>Número de decisiones de negocio relevantes (fusiones, lanzamientos digitales, externalizaciones) sometidas a evaluación de riesgo de ciberseguridad.</w:t>
      </w:r>
    </w:p>
    <w:p>
      <w:r>
        <w:t>Preguntas sugeridas:</w:t>
      </w:r>
    </w:p>
    <w:p>
      <w:pPr>
        <w:pStyle w:val="ListBullet"/>
        <w:keepLines w:val="1"/>
        <w:keepNext w:val="1"/>
        <w:widowControl w:val="1"/>
      </w:pPr>
      <w:r>
        <w:t>“Cuando toma decisiones sobre nuevos proyectos digitales, ¿en qué medida se consideran explícitamente los riesgos de ciberseguridad (según un proceso formal APO12)?”</w:t>
      </w:r>
    </w:p>
    <w:p>
      <w:pPr>
        <w:pStyle w:val="ListBullet"/>
        <w:keepLines w:val="1"/>
        <w:widowControl w:val="1"/>
      </w:pPr>
      <w:r>
        <w:t>“¿Qué porcentaje de sus activos críticos dispone de un análisis de riesgos actualizado en el último año?”</w:t>
      </w:r>
    </w:p>
    <w:p>
      <w:pPr>
        <w:pStyle w:val="Heading3"/>
        <w:keepNext/>
        <w:keepLines/>
      </w:pPr>
      <w:r>
        <w:t>4.3. APO13 – Seguridad gestionada (SGSI nacionalizado)</w:t>
      </w:r>
    </w:p>
    <w:p>
      <w:r>
        <w:t>Indicadores típicos orientados a España:</w:t>
      </w:r>
    </w:p>
    <w:p>
      <w:pPr>
        <w:pStyle w:val="ListBullet"/>
        <w:keepLines w:val="1"/>
        <w:keepNext w:val="1"/>
        <w:widowControl w:val="1"/>
      </w:pPr>
      <w:r>
        <w:t>Porcentaje de organizaciones críticas con SGSI certificado o alineado con ISO 27001 y gestionado bajo un esquema APO13 (políticas, roles, ciclo PDCA).21133</w:t>
      </w:r>
    </w:p>
    <w:p>
      <w:pPr>
        <w:pStyle w:val="ListBullet"/>
        <w:keepLines w:val="1"/>
        <w:keepNext w:val="1"/>
        <w:widowControl w:val="1"/>
      </w:pPr>
      <w:r>
        <w:t>Porcentaje de entidades del sector público sujetas al ENS con cumplimiento efectivo (no solo declarativo) medido con indicadores COBIT (grado de implementación de prácticas APO13).</w:t>
      </w:r>
    </w:p>
    <w:p>
      <w:pPr>
        <w:pStyle w:val="ListBullet"/>
        <w:keepLines w:val="1"/>
        <w:widowControl w:val="1"/>
      </w:pPr>
      <w:r>
        <w:t>Porcentaje de presupuesto TIC dedicado a ciberseguridad y gobierno de la información (como proxy de prioridad estratégica).2</w:t>
      </w:r>
    </w:p>
    <w:p>
      <w:r>
        <w:t>Preguntas con un toque irónico:</w:t>
      </w:r>
    </w:p>
    <w:p>
      <w:pPr>
        <w:pStyle w:val="ListBullet"/>
        <w:keepLines w:val="1"/>
        <w:keepNext w:val="1"/>
        <w:widowControl w:val="1"/>
      </w:pPr>
      <w:r>
        <w:t>“En la práctica, ¿el SGSI de su organización es un organismo vivo que se revisa y alimenta, o más bien un fósil magnífico que se exhibe solo en auditoría?”</w:t>
      </w:r>
    </w:p>
    <w:p>
      <w:pPr>
        <w:pStyle w:val="ListBullet"/>
        <w:keepLines w:val="1"/>
        <w:widowControl w:val="1"/>
      </w:pPr>
      <w:r>
        <w:t>“¿Quién manda realmente en seguridad: el plan APO13 o el excel improvisado del último incidente?”</w:t>
      </w:r>
    </w:p>
    <w:p>
      <w:pPr>
        <w:pStyle w:val="Heading3"/>
        <w:keepNext/>
        <w:keepLines/>
      </w:pPr>
      <w:r>
        <w:t>4.4. BAI06 – Gestión de cambios de TI</w:t>
      </w:r>
    </w:p>
    <w:p>
      <w:r>
        <w:t>Indicadores:</w:t>
      </w:r>
    </w:p>
    <w:p>
      <w:pPr>
        <w:pStyle w:val="ListBullet"/>
        <w:keepLines w:val="1"/>
        <w:keepNext w:val="1"/>
        <w:widowControl w:val="1"/>
      </w:pPr>
      <w:r>
        <w:t>Porcentaje de cambios relevantes en sistemas críticos que incluyen evaluación de impacto en ciberseguridad antes de su aprobación.113</w:t>
      </w:r>
    </w:p>
    <w:p>
      <w:pPr>
        <w:pStyle w:val="ListBullet"/>
        <w:keepLines w:val="1"/>
        <w:keepNext w:val="1"/>
        <w:widowControl w:val="1"/>
      </w:pPr>
      <w:r>
        <w:t>Porcentaje de incidentes de seguridad atribuibles a cambios mal evaluados o mal probados.</w:t>
      </w:r>
    </w:p>
    <w:p>
      <w:pPr>
        <w:pStyle w:val="ListBullet"/>
        <w:keepLines w:val="1"/>
        <w:widowControl w:val="1"/>
      </w:pPr>
      <w:r>
        <w:t>Nivel de automatización de pruebas de seguridad en el pipeline de cambios (DevSecOps) en servicios clave.</w:t>
      </w:r>
    </w:p>
    <w:p>
      <w:r>
        <w:t>Preguntas:</w:t>
      </w:r>
    </w:p>
    <w:p>
      <w:pPr>
        <w:pStyle w:val="ListBullet"/>
        <w:keepLines w:val="1"/>
        <w:keepNext w:val="1"/>
        <w:widowControl w:val="1"/>
      </w:pPr>
      <w:r>
        <w:t>“¿En qué medida se evalúa sistemáticamente el impacto en ciberseguridad de los cambios de TI (según prácticas BAI06) antes de su puesta en producción?”</w:t>
      </w:r>
    </w:p>
    <w:p>
      <w:pPr>
        <w:pStyle w:val="ListBullet"/>
        <w:keepLines w:val="1"/>
        <w:widowControl w:val="1"/>
      </w:pPr>
      <w:r>
        <w:t>“¿Cuántos de sus incidentes de seguridad en el último año provenían de cambios no controlados o insuficientemente probados?”</w:t>
      </w:r>
    </w:p>
    <w:p>
      <w:pPr>
        <w:pStyle w:val="Heading3"/>
        <w:keepNext/>
        <w:keepLines/>
      </w:pPr>
      <w:r>
        <w:t>4.5. DSS05 – Servicios de seguridad</w:t>
      </w:r>
    </w:p>
    <w:p>
      <w:r>
        <w:t>Aquí está el corazón operacional de la ciberseguridad nacional:</w:t>
      </w:r>
    </w:p>
    <w:p>
      <w:pPr>
        <w:pStyle w:val="ListBullet"/>
        <w:keepLines w:val="1"/>
        <w:keepNext w:val="1"/>
        <w:widowControl w:val="1"/>
      </w:pPr>
      <w:r>
        <w:t>Porcentaje de organizaciones críticas con capacidades de monitorización continua (SOC propio o compartido) alineadas con DSS05 (detección, correlación, respuesta).151211</w:t>
      </w:r>
    </w:p>
    <w:p>
      <w:pPr>
        <w:pStyle w:val="ListBullet"/>
        <w:keepLines w:val="1"/>
        <w:keepNext w:val="1"/>
        <w:widowControl w:val="1"/>
      </w:pPr>
      <w:r>
        <w:t>Tiempo medio de detección (MTTD) y respuesta (MTTR) de incidentes significativos a nivel sectorial y nacional.</w:t>
      </w:r>
    </w:p>
    <w:p>
      <w:pPr>
        <w:pStyle w:val="ListBullet"/>
        <w:keepLines w:val="1"/>
        <w:keepNext w:val="1"/>
        <w:widowControl w:val="1"/>
      </w:pPr>
      <w:r>
        <w:t>Porcentaje de vulnerabilidades críticas resueltas dentro de los plazos establecidos en la política nacional o sectorial.</w:t>
      </w:r>
    </w:p>
    <w:p>
      <w:pPr>
        <w:pStyle w:val="ListBullet"/>
        <w:keepLines w:val="1"/>
        <w:widowControl w:val="1"/>
      </w:pPr>
      <w:r>
        <w:t>Cobertura de endpoints, redes y aplicaciones con controles de seguridad activos (EDR, WAF, segmentación, etc.).32</w:t>
      </w:r>
    </w:p>
    <w:p>
      <w:r>
        <w:t>Preguntas tipo encuesta:</w:t>
      </w:r>
    </w:p>
    <w:p>
      <w:pPr>
        <w:pStyle w:val="ListBullet"/>
        <w:keepLines w:val="1"/>
        <w:keepNext w:val="1"/>
        <w:widowControl w:val="1"/>
      </w:pPr>
      <w:r>
        <w:t>“Cuando ocurre un incidente, ¿miden sistemáticamente tiempos de detección y respuesta? ¿Son héroes organizados o bomberos voluntarios en chanclas?”</w:t>
      </w:r>
    </w:p>
    <w:p>
      <w:pPr>
        <w:pStyle w:val="ListBullet"/>
        <w:keepLines w:val="1"/>
        <w:widowControl w:val="1"/>
      </w:pPr>
      <w:r>
        <w:t>“¿Qué porcentaje de sus sistemas está bajo monitorización centralizada, y qué porcentaje ‘volando bajo el radar’?”</w:t>
      </w:r>
    </w:p>
    <w:p>
      <w:pPr>
        <w:pStyle w:val="Heading3"/>
        <w:keepNext/>
        <w:keepLines/>
      </w:pPr>
      <w:r>
        <w:t>4.6. DSS04 – Continuidad</w:t>
      </w:r>
    </w:p>
    <w:p>
      <w:r>
        <w:t>Indicadores:</w:t>
      </w:r>
    </w:p>
    <w:p>
      <w:pPr>
        <w:pStyle w:val="ListBullet"/>
        <w:keepLines w:val="1"/>
        <w:keepNext w:val="1"/>
        <w:widowControl w:val="1"/>
      </w:pPr>
      <w:r>
        <w:t>Porcentaje de organizaciones críticas con Plan de Continuidad de Negocio y Plan de Recuperación ante Desastres probados en los últimos 12 meses.4</w:t>
      </w:r>
    </w:p>
    <w:p>
      <w:pPr>
        <w:pStyle w:val="ListBullet"/>
        <w:keepLines w:val="1"/>
        <w:keepNext w:val="1"/>
        <w:widowControl w:val="1"/>
      </w:pPr>
      <w:r>
        <w:t>RTO y RPO medios para servicios esenciales, y porcentaje de servicios que cumplen objetivos en pruebas reales.</w:t>
      </w:r>
    </w:p>
    <w:p>
      <w:pPr>
        <w:pStyle w:val="ListBullet"/>
        <w:keepLines w:val="1"/>
        <w:widowControl w:val="1"/>
      </w:pPr>
      <w:r>
        <w:t>Número de ejercicios de simulación de ciberincidente a gran escala (ejercicios nacionales, sectoriales) por año.2</w:t>
      </w:r>
    </w:p>
    <w:p>
      <w:r>
        <w:t>Preguntas:</w:t>
      </w:r>
    </w:p>
    <w:p>
      <w:pPr>
        <w:pStyle w:val="ListBullet"/>
        <w:keepLines w:val="1"/>
        <w:keepNext w:val="1"/>
        <w:widowControl w:val="1"/>
      </w:pPr>
      <w:r>
        <w:t>“¿Realiza su organización simulacros de cibercrisis con participación de la alta dirección, o sigue siendo un deporte exclusivamente técnico?”</w:t>
      </w:r>
    </w:p>
    <w:p>
      <w:pPr>
        <w:pStyle w:val="ListBullet"/>
        <w:keepLines w:val="1"/>
        <w:widowControl w:val="1"/>
      </w:pPr>
      <w:r>
        <w:t>“¿Conoce y prueba periódicamente los RTO/RPO de sus servicios críticos?”</w:t>
      </w:r>
    </w:p>
    <w:p>
      <w:pPr>
        <w:pStyle w:val="Heading3"/>
        <w:keepNext/>
        <w:keepLines/>
      </w:pPr>
      <w:r>
        <w:t>4.7. MEA01‑03 – Monitorización y evaluación</w:t>
      </w:r>
    </w:p>
    <w:p>
      <w:r>
        <w:t>Indicadores:</w:t>
      </w:r>
    </w:p>
    <w:p>
      <w:pPr>
        <w:pStyle w:val="ListBullet"/>
        <w:keepLines w:val="1"/>
        <w:keepNext w:val="1"/>
        <w:widowControl w:val="1"/>
      </w:pPr>
      <w:r>
        <w:t>Porcentaje de organizaciones que recogen, validan y evalúan objetivos y métricas de ciberseguridad de forma periódica (mínimo trimestral).715</w:t>
      </w:r>
    </w:p>
    <w:p>
      <w:pPr>
        <w:pStyle w:val="ListBullet"/>
        <w:keepLines w:val="1"/>
        <w:keepNext w:val="1"/>
        <w:widowControl w:val="1"/>
      </w:pPr>
      <w:r>
        <w:t>Existencia de un cuadro de mando integral de ciberseguridad alineado con COBIT (perspectivas negocio, clientes, procesos, futuro).1716</w:t>
      </w:r>
    </w:p>
    <w:p>
      <w:pPr>
        <w:pStyle w:val="ListBullet"/>
        <w:keepLines w:val="1"/>
        <w:widowControl w:val="1"/>
      </w:pPr>
      <w:r>
        <w:t>Número de auditorías internas/externas de seguridad realizadas y porcentaje de acciones correctivas cerradas en plazo.</w:t>
      </w:r>
    </w:p>
    <w:p>
      <w:r>
        <w:t>Preguntas:</w:t>
      </w:r>
    </w:p>
    <w:p>
      <w:pPr>
        <w:pStyle w:val="ListBullet"/>
        <w:keepLines w:val="1"/>
        <w:keepNext w:val="1"/>
        <w:widowControl w:val="1"/>
      </w:pPr>
      <w:r>
        <w:t>“¿Dispone su organización de un cuadro de mando regular de ciberseguridad con objetivos y métricas claramente definidos, o la ‘métrica’ principal sigue siendo el volumen de correos de alerta?”</w:t>
      </w:r>
    </w:p>
    <w:p>
      <w:pPr>
        <w:pStyle w:val="ListBullet"/>
        <w:keepLines w:val="1"/>
        <w:widowControl w:val="1"/>
      </w:pPr>
      <w:r>
        <w:t>“¿Con qué frecuencia se revisa la eficacia del sistema de control interno de ciberseguridad (MEA02)?”</w:t>
      </w:r>
    </w:p>
    <w:p>
      <w:pPr>
        <w:pStyle w:val="Heading2"/>
        <w:keepNext/>
        <w:keepLines/>
      </w:pPr>
      <w:r>
        <w:rPr>
          <w:color w:val="0066CC"/>
        </w:rPr>
        <w:t>5. España en el contexto internacional: índices y COBIT</w:t>
      </w:r>
    </w:p>
    <w:p>
      <w:r>
        <w:t>Los grandes índices nacionales permiten “colgar” los indicadores COBIT en un contexto comparativo.</w:t>
      </w:r>
    </w:p>
    <w:p>
      <w:pPr>
        <w:pStyle w:val="Heading3"/>
        <w:keepNext/>
        <w:keepLines/>
      </w:pPr>
      <w:r>
        <w:t>5.1. NCSI, GCI y otros índices</w:t>
      </w:r>
    </w:p>
    <w:p>
      <w:pPr>
        <w:pStyle w:val="ListBullet"/>
        <w:keepLines w:val="1"/>
        <w:keepNext w:val="1"/>
        <w:widowControl w:val="1"/>
      </w:pPr>
      <w:r>
        <w:t>El National Cyber Security Index (NCSI) sitúa a España con un alto nivel de cumplimiento en indicadores estratégicos (liderazgo, estrategia, protección de infraestructuras, gestión de incidentes, etc.).5</w:t>
      </w:r>
    </w:p>
    <w:p>
      <w:pPr>
        <w:pStyle w:val="ListBullet"/>
        <w:keepLines w:val="1"/>
        <w:keepNext w:val="1"/>
        <w:widowControl w:val="1"/>
      </w:pPr>
      <w:r>
        <w:t>Cada indicador del NCSI se define como “qué se mide” y “qué evidencias se aceptan”: leyes, estrategias, centros de respuesta, programas de formación, etc.5</w:t>
      </w:r>
    </w:p>
    <w:p>
      <w:pPr>
        <w:pStyle w:val="ListBullet"/>
        <w:keepLines w:val="1"/>
        <w:widowControl w:val="1"/>
      </w:pPr>
      <w:r>
        <w:t>Muchos de esos indicadores pueden mapearse directamente a dominios COBIT, especialmente EDM, APO y DSS.142</w:t>
      </w:r>
    </w:p>
    <w:p>
      <w:r>
        <w:t>Ejemplo de mapeo: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 índice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índice (ej.)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Objetivos COBIT relacionados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Liderazgo estratégico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Responsabilidad formal de ciberseguridad a alto nivel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EDM01/EDM03, APO1354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Estrategia nacional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Estrategia de ciberseguridad vigente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APO02, APO12, APO13514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de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Existencia de CSIRT nacional y sectoriales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DSS02, DSS05, MEA0152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Protección de infraestructuras críticas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Regulación y medidas específicas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APO12, APO13, DSS04‑0523</w:t>
            </w:r>
          </w:p>
        </w:tc>
      </w:tr>
    </w:tbl>
    <w:p/>
    <w:p>
      <w:pPr>
        <w:pStyle w:val="Heading3"/>
        <w:keepNext/>
        <w:keepLines/>
      </w:pPr>
      <w:r>
        <w:t>5.2. Aterrizaje para España</w:t>
      </w:r>
    </w:p>
    <w:p>
      <w:pPr>
        <w:pStyle w:val="ListBullet"/>
        <w:keepLines w:val="1"/>
        <w:keepNext w:val="1"/>
        <w:widowControl w:val="1"/>
      </w:pPr>
      <w:r>
        <w:t>España cuenta con un Consejo Nacional de Ciberseguridad, estrategia nacional y marcos normativos como el ENS y la transposición de NIS/NIS2; estos elementos cubren buena parte de los requisitos de liderazgo y estrategia que NCSI y otros índices valoran.5</w:t>
      </w:r>
    </w:p>
    <w:p>
      <w:pPr>
        <w:pStyle w:val="ListBullet"/>
        <w:keepLines w:val="1"/>
        <w:widowControl w:val="1"/>
      </w:pPr>
      <w:r>
        <w:t>El reto está menos en la existencia de marcos y más en la medición homogénea de su implementación en sectores y territorios, donde COBIT ofrece una taxonomía y lógica de indicadores reutilizable.142</w:t>
      </w:r>
    </w:p>
    <w:p>
      <w:r>
        <w:t>Un “Informe COBIT España” razonable podría presentar, por dominio COBIT, la madurez media nacional (niveles COBIT/CPM) y compararla con promedios UE/G20.</w:t>
      </w:r>
    </w:p>
    <w:p>
      <w:pPr>
        <w:pStyle w:val="Heading2"/>
        <w:keepNext/>
        <w:keepLines/>
      </w:pPr>
      <w:r>
        <w:rPr>
          <w:color w:val="0066CC"/>
        </w:rPr>
        <w:t>6. Esbozo de cuestionario/encuesta COBIT‑ciberseguridad (tono propositivo)</w:t>
      </w:r>
    </w:p>
    <w:p>
      <w:r>
        <w:t>Algunas preguntas tipo, agrupadas por dominios COBIT y pensadas para organismos españoles (públicos y privados) con vocación de comparativa internacional:</w:t>
      </w:r>
    </w:p>
    <w:p>
      <w:pPr>
        <w:pStyle w:val="ListBullet"/>
        <w:keepLines w:val="1"/>
        <w:keepNext w:val="1"/>
        <w:widowControl w:val="1"/>
      </w:pPr>
      <w:r>
        <w:t>Gobierno (EDM)</w:t>
        <w:br/>
        <w:t>“¿Con qué frecuencia el máximo órgano de gobierno revisa un cuadro de mando de ciberseguridad alineado con los objetivos COBIT relevantes (EDM03, APO12, APO13, DSS05)?”</w:t>
        <w:br/>
        <w:t>“¿Existen criterios formales de apetito al riesgo de ciberseguridad que condicionen la aprobación de proyectos significativos?”</w:t>
        <w:br/>
        <w:br/>
      </w:r>
    </w:p>
    <w:p>
      <w:pPr>
        <w:pStyle w:val="ListBullet"/>
        <w:keepLines w:val="1"/>
        <w:keepNext w:val="1"/>
        <w:widowControl w:val="1"/>
      </w:pPr>
      <w:r>
        <w:t>Gestión del riesgo y seguridad (APO12, APO13)</w:t>
        <w:br/>
        <w:t>“Indique el porcentaje aproximado de sistemas críticos con análisis de riesgos realizado o actualizado en el último año.”</w:t>
        <w:br/>
        <w:t>“Valore del 1 al 5 el grado en que el SGSI orienta decisiones reales (no solo auditorías) en su organización.”</w:t>
        <w:br/>
        <w:br/>
      </w:r>
    </w:p>
    <w:p>
      <w:pPr>
        <w:pStyle w:val="ListBullet"/>
        <w:keepLines w:val="1"/>
        <w:keepNext w:val="1"/>
        <w:widowControl w:val="1"/>
      </w:pPr>
      <w:r>
        <w:t>Entrega y continuidad (DSS04, DSS05)</w:t>
        <w:br/>
        <w:t>“¿Cuál es el tiempo medio de detección de incidentes significativos en su organización?”</w:t>
        <w:br/>
        <w:t>“¿Ha realizado simulacros de cibercrisis con participación de niveles directivos en los últimos 12 meses?”</w:t>
        <w:br/>
        <w:br/>
      </w:r>
    </w:p>
    <w:p>
      <w:pPr>
        <w:pStyle w:val="ListBullet"/>
        <w:keepLines w:val="1"/>
        <w:widowControl w:val="1"/>
      </w:pPr>
      <w:r>
        <w:t>Monitorización y mejora (MEA)</w:t>
        <w:br/>
        <w:t>“¿Dispone de KPIs formales de seguridad vinculados a objetivos de negocio, con metas cuantificadas y seguimiento periódico?”</w:t>
        <w:br/>
        <w:t>“¿Cuántas acciones de mejora derivadas de auditorías o incidentes se han cerrado dentro del plazo comprometido?”</w:t>
        <w:br/>
        <w:br/>
      </w:r>
    </w:p>
    <w:p>
      <w:pPr>
        <w:pStyle w:val="ListBullet"/>
        <w:keepLines w:val="1"/>
        <w:keepNext w:val="1"/>
        <w:widowControl w:val="1"/>
      </w:pPr>
      <w:r>
        <w:t>“¿Con qué frecuencia el máximo órgano de gobierno revisa un cuadro de mando de ciberseguridad alineado con los objetivos COBIT relevantes (EDM03, APO12, APO13, DSS05)?”</w:t>
      </w:r>
    </w:p>
    <w:p>
      <w:pPr>
        <w:pStyle w:val="ListBullet"/>
        <w:keepLines w:val="1"/>
        <w:widowControl w:val="1"/>
      </w:pPr>
      <w:r>
        <w:t>“¿Existen criterios formales de apetito al riesgo de ciberseguridad que condicionen la aprobación de proyectos significativos?”</w:t>
      </w:r>
    </w:p>
    <w:p>
      <w:pPr>
        <w:pStyle w:val="ListBullet"/>
        <w:keepLines w:val="1"/>
        <w:keepNext w:val="1"/>
        <w:widowControl w:val="1"/>
      </w:pPr>
      <w:r>
        <w:t>“Indique el porcentaje aproximado de sistemas críticos con análisis de riesgos realizado o actualizado en el último año.”</w:t>
      </w:r>
    </w:p>
    <w:p>
      <w:pPr>
        <w:pStyle w:val="ListBullet"/>
        <w:keepLines w:val="1"/>
        <w:widowControl w:val="1"/>
      </w:pPr>
      <w:r>
        <w:t>“Valore del 1 al 5 el grado en que el SGSI orienta decisiones reales (no solo auditorías) en su organización.”</w:t>
      </w:r>
    </w:p>
    <w:p>
      <w:pPr>
        <w:pStyle w:val="ListBullet"/>
        <w:keepLines w:val="1"/>
        <w:keepNext w:val="1"/>
        <w:widowControl w:val="1"/>
      </w:pPr>
      <w:r>
        <w:t>“¿Cuál es el tiempo medio de detección de incidentes significativos en su organización?”</w:t>
      </w:r>
    </w:p>
    <w:p>
      <w:pPr>
        <w:pStyle w:val="ListBullet"/>
        <w:keepLines w:val="1"/>
        <w:widowControl w:val="1"/>
      </w:pPr>
      <w:r>
        <w:t>“¿Ha realizado simulacros de cibercrisis con participación de niveles directivos en los últimos 12 meses?”</w:t>
      </w:r>
    </w:p>
    <w:p>
      <w:pPr>
        <w:pStyle w:val="ListBullet"/>
        <w:keepLines w:val="1"/>
        <w:keepNext w:val="1"/>
        <w:widowControl w:val="1"/>
      </w:pPr>
      <w:r>
        <w:t>“¿Dispone de KPIs formales de seguridad vinculados a objetivos de negocio, con metas cuantificadas y seguimiento periódico?”</w:t>
      </w:r>
    </w:p>
    <w:p>
      <w:pPr>
        <w:pStyle w:val="ListBullet"/>
        <w:keepLines w:val="1"/>
        <w:widowControl w:val="1"/>
      </w:pPr>
      <w:r>
        <w:t>“¿Cuántas acciones de mejora derivadas de auditorías o incidentes se han cerrado dentro del plazo comprometido?”</w:t>
      </w:r>
    </w:p>
    <w:p>
      <w:r>
        <w:t>Este tipo de preguntas, bien agregadas, permitirían pintar un mapa COBIT‑ciberseguridad de España y compararlo con países que adopten instrumentos similares.</w:t>
      </w:r>
    </w:p>
    <w:p>
      <w:r>
        <w:t>¿Quieres que bajemos un nivel más y diseñemos un cuadro de mando completo (con fórmulas de KPI y escalas de madurez) específico para, por ejemplo, Administraciones Públicas españolas o para un sector concreto como sanidad o energía?</w:t>
      </w:r>
      <w:r/>
      <w:r>
        <w:br/>
      </w:r>
      <w:r>
        <w:t>222324252627282930313233343536373839404142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https://www.isaca.org/resources/cobit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https://dialnet.unirioja.es/servlet/articulo?codigo=8750168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https://www.aasmr.org/jsms/Vol14/No.3/Vol.14.No.3.08.pdf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https://www.isaca.org/resources/news-and-trends/industry-news/2021/using-cobit-2019-to-proactively-mitigate-the-impact-of-covid-19</w:t>
      </w:r>
    </w:p>
  </w:footnote>
  <w:footnote w:id="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https://ncsi.ega.ee/country/es/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https://www.isaca.org/resources/COBIT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https://www.aasmr.org/jsms/Vol14/No.3/Vol.14.No.3.08.pdf</w:t>
      </w:r>
    </w:p>
  </w:footnote>
  <w:footnote w:id="1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https://icobits.ubhinus.ac.id/index.php/ICoBITS/article/download/8/4</w:t>
      </w:r>
    </w:p>
  </w:footnote>
  <w:footnote w:id="1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https://www.linkedin.com/learning/cybersecurity-foundations-22006082/managing-security-with-cobit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