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COBIT de ciberseguridad</w:t>
      </w:r>
    </w:p>
    <w:p>
      <w:r>
        <w:t>Versión 1.0 – Aplicable a indicadores nacionales inspirados en COBIT 2019 (España, enfoque comparativo internacional).[web:18][web:21][web:24]</w:t>
      </w:r>
    </w:p>
    <w:p>
      <w:pPr>
        <w:pStyle w:val="Heading2"/>
        <w:keepNext/>
        <w:keepLines/>
      </w:pPr>
      <w:r>
        <w:rPr>
          <w:color w:val="0066CC"/>
        </w:rPr>
        <w:t>1. Introducción: de los objetivos país al log de eventos</w:t>
      </w:r>
    </w:p>
    <w:p>
      <w:r>
        <w:t xml:space="preserve">El propósito de este marco es asegurar que </w:t>
      </w:r>
      <w:r>
        <w:rPr>
          <w:b/>
        </w:rPr>
        <w:t>cada indicador de ciberseguridad</w:t>
      </w:r>
      <w:r>
        <w:t xml:space="preserve"> propuesto en el informe COBIT tenga:</w:t>
      </w:r>
    </w:p>
    <w:p>
      <w:pPr>
        <w:pStyle w:val="ListBullet"/>
        <w:keepLines w:val="1"/>
        <w:keepNext w:val="1"/>
        <w:widowControl w:val="1"/>
      </w:pPr>
      <w:r>
        <w:t xml:space="preserve">Un Goal claro (objetivo nacional o estratégico).  </w:t>
      </w:r>
    </w:p>
    <w:p>
      <w:pPr>
        <w:pStyle w:val="ListBullet"/>
        <w:keepLines w:val="1"/>
        <w:keepNext w:val="1"/>
        <w:widowControl w:val="1"/>
      </w:pPr>
      <w:r>
        <w:t xml:space="preserve">Una o varias Questions operativas que explican qué queremos saber.  </w:t>
      </w:r>
    </w:p>
    <w:p>
      <w:pPr>
        <w:pStyle w:val="ListBullet"/>
        <w:keepLines w:val="1"/>
        <w:widowControl w:val="1"/>
      </w:pPr>
      <w:r>
        <w:t>Una o varias Metrics bien definidas y evaluadas con los nueve criterios PRAGMATIC: Predictivo, Relevante, Accionable, Genuino, Significativo, Preciso, Oportuno, Independiente y Rentable.[web:53][web:57][web:61]</w:t>
      </w:r>
    </w:p>
    <w:p>
      <w:r>
        <w:t xml:space="preserve">Así se consigue la trazabilidad completa: desde la </w:t>
      </w:r>
      <w:r>
        <w:rPr>
          <w:b/>
        </w:rPr>
        <w:t>estrategia país</w:t>
      </w:r>
      <w:r>
        <w:t xml:space="preserve"> hasta el </w:t>
      </w:r>
      <w:r>
        <w:rPr>
          <w:b/>
        </w:rPr>
        <w:t>dato técnico</w:t>
      </w:r>
      <w:r>
        <w:t xml:space="preserve"> extraído de un SIEM, un inventario de activos o un sistema de ticketing.</w:t>
      </w:r>
    </w:p>
    <w:p>
      <w:pPr>
        <w:pStyle w:val="Heading2"/>
        <w:keepNext/>
        <w:keepLines/>
      </w:pPr>
      <w:r>
        <w:rPr>
          <w:color w:val="0066CC"/>
        </w:rPr>
        <w:t>2. Recordatorio de los enfoques GQM y PRAGMATIC</w:t>
      </w:r>
    </w:p>
    <w:p>
      <w:pPr>
        <w:pStyle w:val="Heading3"/>
        <w:keepNext/>
        <w:keepLines/>
      </w:pPr>
      <w:r>
        <w:t>2.1. GQM – Goal, Question, Metric</w:t>
      </w:r>
    </w:p>
    <w:p>
      <w:r>
        <w:t xml:space="preserve">Según la metodología GQM, se parte de un </w:t>
      </w:r>
      <w:r>
        <w:rPr>
          <w:b/>
        </w:rPr>
        <w:t>Goal</w:t>
      </w:r>
      <w:r>
        <w:t xml:space="preserve"> (meta) bien definido, se derivan </w:t>
      </w:r>
      <w:r>
        <w:rPr>
          <w:b/>
        </w:rPr>
        <w:t>Questions</w:t>
      </w:r>
      <w:r>
        <w:t xml:space="preserve"> (preguntas) que caracterizan ese objetivo y, finalmente, se definen </w:t>
      </w:r>
      <w:r>
        <w:rPr>
          <w:b/>
        </w:rPr>
        <w:t>Metrics</w:t>
      </w:r>
      <w:r>
        <w:t xml:space="preserve"> que permiten responder a las preguntas.[web:53][web:57][web:60][web:63]</w:t>
      </w:r>
    </w:p>
    <w:p>
      <w:r>
        <w:t>En nuestro contexto:</w:t>
      </w:r>
    </w:p>
    <w:p>
      <w:pPr>
        <w:pStyle w:val="ListBullet"/>
        <w:keepLines w:val="1"/>
        <w:keepNext w:val="1"/>
        <w:widowControl w:val="1"/>
      </w:pPr>
      <w:r>
        <w:t xml:space="preserve">Goal: objetivo nacional de ciberseguridad alineado con COBIT (p.ej., “Optimizar el riesgo de ciberseguridad a nivel país”).  </w:t>
      </w:r>
    </w:p>
    <w:p>
      <w:pPr>
        <w:pStyle w:val="ListBullet"/>
        <w:keepLines w:val="1"/>
        <w:keepNext w:val="1"/>
        <w:widowControl w:val="1"/>
      </w:pPr>
      <w:r>
        <w:t xml:space="preserve">Questions: qué necesitamos saber para saber si el objetivo avanza (p.ej., “¿Con qué frecuencia revisa el gobierno los indicadores de riesgo?”).  </w:t>
      </w:r>
    </w:p>
    <w:p>
      <w:pPr>
        <w:pStyle w:val="ListBullet"/>
        <w:keepLines w:val="1"/>
        <w:widowControl w:val="1"/>
      </w:pPr>
      <w:r>
        <w:t>Metrics: datos cuantificables (p.ej., “nº de reuniones anuales del Consejo con agenda de ciberseguridad”).</w:t>
      </w:r>
    </w:p>
    <w:p>
      <w:pPr>
        <w:pStyle w:val="Heading3"/>
        <w:keepNext/>
        <w:keepLines/>
      </w:pPr>
      <w:r>
        <w:t>2.2. PRAGMATIC – Nueve criterios de calidad de métricas</w:t>
      </w:r>
    </w:p>
    <w:p>
      <w:r>
        <w:t>El enfoque PRAGMATIC propone puntuar las métricas según nueve criterios,[web:61][web:58][web:59][web:64]</w:t>
      </w:r>
    </w:p>
    <w:p>
      <w:pPr>
        <w:pStyle w:val="ListBullet"/>
        <w:keepLines w:val="1"/>
        <w:keepNext w:val="1"/>
        <w:widowControl w:val="1"/>
      </w:pPr>
      <w:r>
        <w:t xml:space="preserve">P – Predictivo: ayuda a anticipar futuros estados o riesgos.  </w:t>
      </w:r>
    </w:p>
    <w:p>
      <w:pPr>
        <w:pStyle w:val="ListBullet"/>
        <w:keepLines w:val="1"/>
        <w:keepNext w:val="1"/>
        <w:widowControl w:val="1"/>
      </w:pPr>
      <w:r>
        <w:t xml:space="preserve">R – Relevante: guarda relación directa con los objetivos de decisión.  </w:t>
      </w:r>
    </w:p>
    <w:p>
      <w:pPr>
        <w:pStyle w:val="ListBullet"/>
        <w:keepLines w:val="1"/>
        <w:keepNext w:val="1"/>
        <w:widowControl w:val="1"/>
      </w:pPr>
      <w:r>
        <w:t xml:space="preserve">A – Accionable: conduce claramente a posibles acciones de mejora o decisión.  </w:t>
      </w:r>
    </w:p>
    <w:p>
      <w:pPr>
        <w:pStyle w:val="ListBullet"/>
        <w:keepLines w:val="1"/>
        <w:keepNext w:val="1"/>
        <w:widowControl w:val="1"/>
      </w:pPr>
      <w:r>
        <w:t xml:space="preserve">G – Genuino: mide realmente lo que dice medir, sin trucos semánticos.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es comprensible y significativo para los decisores.  </w:t>
      </w:r>
    </w:p>
    <w:p>
      <w:pPr>
        <w:pStyle w:val="ListBullet"/>
        <w:keepLines w:val="1"/>
        <w:keepNext w:val="1"/>
        <w:widowControl w:val="1"/>
      </w:pPr>
      <w:r>
        <w:t xml:space="preserve">A – Preciso (Accurate): suficientemente exacto y fiable para el uso previsto.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disponible con la frecuencia y rapidez necesarias.  </w:t>
      </w:r>
    </w:p>
    <w:p>
      <w:pPr>
        <w:pStyle w:val="ListBullet"/>
        <w:keepLines w:val="1"/>
        <w:keepNext w:val="1"/>
        <w:widowControl w:val="1"/>
      </w:pPr>
      <w:r>
        <w:t xml:space="preserve">I – Independiente: difícil de manipular, poco sujeto a intereses de parte.  </w:t>
      </w:r>
    </w:p>
    <w:p>
      <w:pPr>
        <w:pStyle w:val="ListBullet"/>
        <w:keepLines w:val="1"/>
        <w:widowControl w:val="1"/>
      </w:pPr>
      <w:r>
        <w:t>C – Rentable (Cheap): coste de recopilación razonable frente al valor.</w:t>
      </w:r>
    </w:p>
    <w:p>
      <w:r>
        <w:t xml:space="preserve">Cada métrica se puede puntuar de 0 a 10 en cada criterio, obteniendo un </w:t>
      </w:r>
      <w:r>
        <w:rPr>
          <w:b/>
        </w:rPr>
        <w:t>metametric score</w:t>
      </w:r>
      <w:r>
        <w:t xml:space="preserve"> PRAGMATIC.[web:61][web:64]</w:t>
      </w:r>
    </w:p>
    <w:p>
      <w:pPr>
        <w:pStyle w:val="Heading2"/>
        <w:keepNext/>
        <w:keepLines/>
      </w:pPr>
      <w:r>
        <w:rPr>
          <w:color w:val="0066CC"/>
        </w:rPr>
        <w:t>3. Dominios COBIT y objetivos nacionales (nivel Goal)</w:t>
      </w:r>
    </w:p>
    <w:p>
      <w:r>
        <w:t xml:space="preserve">Retomando el informe de indicadores COBIT, se establecen los siguientes </w:t>
      </w:r>
      <w:r>
        <w:rPr>
          <w:b/>
        </w:rPr>
        <w:t>Goals</w:t>
      </w:r>
      <w:r>
        <w:t xml:space="preserve"> de alto nivel:</w:t>
      </w:r>
    </w:p>
    <w:p>
      <w:pPr>
        <w:pStyle w:val="ListNumber"/>
        <w:keepLines w:val="1"/>
        <w:keepNext w:val="1"/>
        <w:widowControl w:val="1"/>
      </w:pPr>
      <w:r>
        <w:br/>
        <w:t>G1 – Gobierno y riesgo (EDM03)</w:t>
        <w:br/>
        <w:t xml:space="preserve">   “Asegurar que el gobierno nacional y los órganos de gobierno de las organizaciones clave optimizan el riesgo de ciberseguridad de forma informada y periódica.”[web:34][web:27]</w:t>
        <w:br/>
      </w:r>
    </w:p>
    <w:p>
      <w:pPr>
        <w:pStyle w:val="ListNumber"/>
        <w:keepLines w:val="1"/>
        <w:keepNext w:val="1"/>
        <w:widowControl w:val="1"/>
      </w:pPr>
      <w:r>
        <w:br/>
        <w:t>G2 – Gestión del riesgo de TI (APO12)</w:t>
        <w:br/>
        <w:t xml:space="preserve">   “Conseguir que las organizaciones gestionen el riesgo de TI/ciberseguridad de forma sistemática y alineada con el riesgo corporativo.”[web:14][web:24]</w:t>
        <w:br/>
      </w:r>
    </w:p>
    <w:p>
      <w:pPr>
        <w:pStyle w:val="ListNumber"/>
        <w:keepLines w:val="1"/>
        <w:keepNext w:val="1"/>
        <w:widowControl w:val="1"/>
      </w:pPr>
      <w:r>
        <w:br/>
        <w:t>G3 – Seguridad gestionada (APO13)</w:t>
        <w:br/>
        <w:t xml:space="preserve">   “Implantar y mantener sistemas de gestión de seguridad de la información (SGSI) efectivos y alineados con estándares reconocidos.”[web:24][web:44]</w:t>
        <w:br/>
      </w:r>
    </w:p>
    <w:p>
      <w:pPr>
        <w:pStyle w:val="ListNumber"/>
        <w:keepLines w:val="1"/>
        <w:keepNext w:val="1"/>
        <w:widowControl w:val="1"/>
      </w:pPr>
      <w:r>
        <w:br/>
        <w:t>G4 – Cambios de TI seguros (BAI06)</w:t>
        <w:br/>
        <w:t xml:space="preserve">   “Garantizar que los cambios de TI se realizan con un tratamiento adecuado del riesgo de ciberseguridad y sin generar incidentes evitables.”[web:21][web:24]</w:t>
        <w:br/>
      </w:r>
    </w:p>
    <w:p>
      <w:pPr>
        <w:pStyle w:val="ListNumber"/>
        <w:keepLines w:val="1"/>
        <w:keepNext w:val="1"/>
        <w:widowControl w:val="1"/>
      </w:pPr>
      <w:r>
        <w:br/>
        <w:t>G5 – Servicios de seguridad eficaces (DSS05)</w:t>
        <w:br/>
        <w:t xml:space="preserve">   “Asegurar que las organizaciones disponen de servicios de seguridad (SOC, detección, respuesta, gestión de vulnerabilidades) eficaces y eficientes.”[web:17][web:21][web:46]</w:t>
        <w:br/>
      </w:r>
    </w:p>
    <w:p>
      <w:pPr>
        <w:pStyle w:val="ListNumber"/>
        <w:keepLines w:val="1"/>
        <w:keepNext w:val="1"/>
        <w:widowControl w:val="1"/>
      </w:pPr>
      <w:r>
        <w:br/>
        <w:t>G6 – Continuidad y resiliencia (DSS04)</w:t>
        <w:br/>
        <w:t xml:space="preserve">   “Mejorar la capacidad de las organizaciones para resistir y recuperarse de ciberincidentes que afecten a la continuidad del negocio.”[web:27][web:22]</w:t>
        <w:br/>
      </w:r>
    </w:p>
    <w:p>
      <w:pPr>
        <w:pStyle w:val="ListNumber"/>
        <w:keepLines w:val="1"/>
        <w:widowControl w:val="1"/>
      </w:pPr>
      <w:r>
        <w:br/>
        <w:t>G7 – Monitorización, auditoría y mejora (MEA01‑03)</w:t>
        <w:br/>
        <w:t xml:space="preserve">   “Fomentar una cultura de monitorización continua, auditoría y mejora basada en datos de ciberseguridad.”[web:17][web:34]</w:t>
        <w:br/>
      </w:r>
    </w:p>
    <w:p>
      <w:r>
        <w:rPr>
          <w:b/>
        </w:rPr>
        <w:t>G1 – Gobierno y riesgo (EDM03)</w:t>
      </w:r>
      <w:r/>
      <w:r>
        <w:br/>
        <w:t xml:space="preserve">   “Asegurar que el gobierno nacional y los órganos de gobierno de las organizaciones clave </w:t>
      </w:r>
      <w:r>
        <w:rPr>
          <w:b/>
        </w:rPr>
        <w:t>optimizan el riesgo de ciberseguridad</w:t>
      </w:r>
      <w:r>
        <w:t xml:space="preserve"> de forma informada y periódica.”[web:34][web:27]</w:t>
      </w:r>
    </w:p>
    <w:p>
      <w:r>
        <w:rPr>
          <w:b/>
        </w:rPr>
        <w:t>G2 – Gestión del riesgo de TI (APO12)</w:t>
      </w:r>
      <w:r/>
      <w:r>
        <w:br/>
        <w:t xml:space="preserve">   “Conseguir que las organizaciones gestionen el </w:t>
      </w:r>
      <w:r>
        <w:rPr>
          <w:b/>
        </w:rPr>
        <w:t>riesgo de TI/ciberseguridad</w:t>
      </w:r>
      <w:r>
        <w:t xml:space="preserve"> de forma sistemática y alineada con el riesgo corporativo.”[web:14][web:24]</w:t>
      </w:r>
    </w:p>
    <w:p>
      <w:r>
        <w:rPr>
          <w:b/>
        </w:rPr>
        <w:t>G3 – Seguridad gestionada (APO13)</w:t>
      </w:r>
      <w:r/>
      <w:r>
        <w:br/>
        <w:t xml:space="preserve">   “Implantar y mantener sistemas de gestión de seguridad de la información (SGSI) efectivos y alineados con estándares reconocidos.”[web:24][web:44]</w:t>
      </w:r>
    </w:p>
    <w:p>
      <w:r>
        <w:rPr>
          <w:b/>
        </w:rPr>
        <w:t>G4 – Cambios de TI seguros (BAI06)</w:t>
      </w:r>
      <w:r/>
      <w:r>
        <w:br/>
        <w:t xml:space="preserve">   “Garantizar que los cambios de TI se realizan con un tratamiento adecuado del riesgo de ciberseguridad y sin generar incidentes evitables.”[web:21][web:24]</w:t>
      </w:r>
    </w:p>
    <w:p>
      <w:r>
        <w:rPr>
          <w:b/>
        </w:rPr>
        <w:t>G5 – Servicios de seguridad eficaces (DSS05)</w:t>
      </w:r>
      <w:r/>
      <w:r>
        <w:br/>
        <w:t xml:space="preserve">   “Asegurar que las organizaciones disponen de servicios de seguridad (SOC, detección, respuesta, gestión de vulnerabilidades) eficaces y eficientes.”[web:17][web:21][web:46]</w:t>
      </w:r>
    </w:p>
    <w:p>
      <w:r>
        <w:rPr>
          <w:b/>
        </w:rPr>
        <w:t>G6 – Continuidad y resiliencia (DSS04)</w:t>
      </w:r>
      <w:r/>
      <w:r>
        <w:br/>
        <w:t xml:space="preserve">   “Mejorar la capacidad de las organizaciones para resistir y recuperarse de ciberincidentes que afecten a la continuidad del negocio.”[web:27][web:22]</w:t>
      </w:r>
    </w:p>
    <w:p>
      <w:r>
        <w:rPr>
          <w:b/>
        </w:rPr>
        <w:t>G7 – Monitorización, auditoría y mejora (MEA01‑03)</w:t>
      </w:r>
      <w:r/>
      <w:r>
        <w:br/>
        <w:t xml:space="preserve">   “Fomentar una cultura de monitorización continua, auditoría y mejora basada en datos de ciberseguridad.”[web:17][web:34]</w:t>
      </w:r>
    </w:p>
    <w:p>
      <w:r>
        <w:t>Cada uno de estos Goals se descompone en Questions específicas y Metrics asociadas.</w:t>
      </w:r>
    </w:p>
    <w:p>
      <w:pPr>
        <w:pStyle w:val="Heading2"/>
        <w:keepNext/>
        <w:keepLines/>
      </w:pPr>
      <w:r>
        <w:rPr>
          <w:color w:val="0066CC"/>
        </w:rPr>
        <w:t>4. Ejemplo de aplicación GQM + PRAGMATIC por indicador</w:t>
      </w:r>
    </w:p>
    <w:p>
      <w:r>
        <w:t>A continuación se presenta la estructura GQM+PRAGMATIC para los indicadores clave propuestos en el informe COBIT.</w:t>
      </w:r>
    </w:p>
    <w:p>
      <w:r>
        <w:t>Nota: los scores PRAGMATIC son orientativos (escala 0‑10) y pueden ajustarse según contexto nacional o sectorial.[web:61][web:64]</w:t>
      </w:r>
    </w:p>
    <w:p>
      <w:pPr>
        <w:pStyle w:val="Heading3"/>
        <w:keepNext/>
        <w:keepLines/>
      </w:pPr>
      <w:r>
        <w:t>4.1. G1 – Gobierno y optimización del riesgo (EDM03)</w:t>
      </w:r>
    </w:p>
    <w:p>
      <w:pPr>
        <w:pStyle w:val="Heading4"/>
        <w:keepNext/>
        <w:keepLines/>
      </w:pPr>
      <w:r>
        <w:t>4.1.1. Indicador: Frecuencia de revisión de ciberseguridad en el órgano de gobierno</w:t>
      </w:r>
    </w:p>
    <w:p>
      <w:pPr>
        <w:pStyle w:val="ListBullet"/>
        <w:keepLines w:val="1"/>
        <w:keepNext w:val="1"/>
        <w:widowControl w:val="1"/>
      </w:pPr>
      <w:r>
        <w:t xml:space="preserve">Goal (G1): Optimizar el riesgo de ciberseguridad a través de una supervisión efectiva por parte del órgano de gobierno.  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Q1.1: ¿Con qué frecuencia el órgano de gobierno revisa la información estructurada de ciberseguridad (riesgos, incidentes, planes)?  </w:t>
      </w:r>
    </w:p>
    <w:p>
      <w:pPr>
        <w:pStyle w:val="ListBullet"/>
        <w:keepLines w:val="1"/>
        <w:widowControl w:val="1"/>
      </w:pPr>
      <w:r>
        <w:t>Metric M1.1: Nº de reuniones al año del órgano de gobierno donde la ciberseguridad figura explícitamente en la agenda, medido a nivel organización; agregable a nivel país como media o distribución.</w:t>
      </w:r>
    </w:p>
    <w:p>
      <w:r>
        <w:rPr>
          <w:b/>
        </w:rPr>
        <w:t>PRAGMATIC (M1.1)</w:t>
      </w:r>
      <w:r>
        <w:t xml:space="preserve"> – puntuación sugerida: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(0–10)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baja anticipa posible falta de respuesta estratégica futura.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alineado con el objetivo de gobierno de riesgo.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es bajo, se puede aumentar la frecuencia o calidad de las sesiones.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realmente la atención del órgano de gobierno (aunque no la calidad).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entender por dirección y reguladores.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con actas o agendas formales.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actualiza anualmente con facilidad.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 se revisan actas oficiales.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Muy barato de obtener.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</w:t>
            </w:r>
          </w:p>
        </w:tc>
      </w:tr>
    </w:tbl>
    <w:p/>
    <w:p>
      <w:pPr>
        <w:pStyle w:val="Heading4"/>
        <w:keepNext/>
        <w:keepLines/>
      </w:pPr>
      <w:r>
        <w:t>4.1.2. Indicador: Existencia de informes de ciberseguridad con objetivos y métricas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Q1.2: ¿Recibe el órgano de gobierno informes de ciberseguridad con objetivos, métricas y brechas definidas?  </w:t>
      </w:r>
    </w:p>
    <w:p>
      <w:pPr>
        <w:pStyle w:val="ListBullet"/>
        <w:keepLines w:val="1"/>
        <w:widowControl w:val="1"/>
      </w:pPr>
      <w:r>
        <w:t>Metric M1.2: Nivel de formalización del informe codificado (0: inexistente; 1: puntual; 2: anual; 3: periódico estructurado; 4: cuadro de mando integrado).</w:t>
      </w:r>
    </w:p>
    <w:p>
      <w:r>
        <w:rPr>
          <w:b/>
        </w:rPr>
        <w:t>PRAGMATIC (M1.2)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 (sin informes formales, es más probable una gestión reactiva futura).  </w:t>
      </w:r>
    </w:p>
    <w:p>
      <w:pPr>
        <w:pStyle w:val="ListBullet"/>
        <w:keepLines w:val="1"/>
        <w:keepNext w:val="1"/>
        <w:widowControl w:val="1"/>
      </w:pPr>
      <w:r>
        <w:t xml:space="preserve">Relevante: 9.  </w:t>
      </w:r>
    </w:p>
    <w:p>
      <w:pPr>
        <w:pStyle w:val="ListBullet"/>
        <w:keepLines w:val="1"/>
        <w:keepNext w:val="1"/>
        <w:widowControl w:val="1"/>
      </w:pPr>
      <w:r>
        <w:t xml:space="preserve">Accionable: 8 (se puede formalizar y mejorar el informe).  </w:t>
      </w:r>
    </w:p>
    <w:p>
      <w:pPr>
        <w:pStyle w:val="ListBullet"/>
        <w:keepLines w:val="1"/>
        <w:keepNext w:val="1"/>
        <w:widowControl w:val="1"/>
      </w:pPr>
      <w:r>
        <w:t xml:space="preserve">Genuino: 7 (mide existencia y formalización, no calidad del contenido).  </w:t>
      </w:r>
    </w:p>
    <w:p>
      <w:pPr>
        <w:pStyle w:val="ListBullet"/>
        <w:keepLines w:val="1"/>
        <w:keepNext w:val="1"/>
        <w:widowControl w:val="1"/>
      </w:pPr>
      <w:r>
        <w:t xml:space="preserve">Significativo: 9.  </w:t>
      </w:r>
    </w:p>
    <w:p>
      <w:pPr>
        <w:pStyle w:val="ListBullet"/>
        <w:keepLines w:val="1"/>
        <w:keepNext w:val="1"/>
        <w:widowControl w:val="1"/>
      </w:pPr>
      <w:r>
        <w:t xml:space="preserve">Preciso: 7 (algunas respuestas pueden ser algo subjetivas).  </w:t>
      </w:r>
    </w:p>
    <w:p>
      <w:pPr>
        <w:pStyle w:val="ListBullet"/>
        <w:keepLines w:val="1"/>
        <w:keepNext w:val="1"/>
        <w:widowControl w:val="1"/>
      </w:pPr>
      <w:r>
        <w:t xml:space="preserve">Oportuno: 8.  </w:t>
      </w:r>
    </w:p>
    <w:p>
      <w:pPr>
        <w:pStyle w:val="ListBullet"/>
        <w:keepLines w:val="1"/>
        <w:keepNext w:val="1"/>
        <w:widowControl w:val="1"/>
      </w:pPr>
      <w:r>
        <w:t xml:space="preserve">Independiente: 6 (puede maquillarse, requiere contraste documental).  </w:t>
      </w:r>
    </w:p>
    <w:p>
      <w:pPr>
        <w:pStyle w:val="ListBullet"/>
        <w:keepLines w:val="1"/>
        <w:widowControl w:val="1"/>
      </w:pPr>
      <w:r>
        <w:t>Rentable: 9.</w:t>
      </w:r>
    </w:p>
    <w:p>
      <w:pPr>
        <w:pStyle w:val="Heading3"/>
        <w:keepNext/>
        <w:keepLines/>
      </w:pPr>
      <w:r>
        <w:t>4.2. G2 – Gestión del riesgo de TI (APO12)</w:t>
      </w:r>
    </w:p>
    <w:p>
      <w:pPr>
        <w:pStyle w:val="Heading4"/>
        <w:keepNext/>
        <w:keepLines/>
      </w:pPr>
      <w:r>
        <w:t>4.2.1. Indicador: Proceso formal de gestión de riesgos de TI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Q2.1: ¿Existe y se aplica un proceso formal de gestión de riesgos de TI/ciberseguridad?  </w:t>
      </w:r>
    </w:p>
    <w:p>
      <w:pPr>
        <w:pStyle w:val="ListBullet"/>
        <w:keepLines w:val="1"/>
        <w:widowControl w:val="1"/>
      </w:pPr>
      <w:r>
        <w:t>Metric M2.1: Grado de formalización del proceso (0: inexistente; 1: prácticas dispersas; 2: proceso definido pero irregular; 3: proceso sistemático; 4: integrado con riesgo corporativo).</w:t>
      </w:r>
    </w:p>
    <w:p>
      <w:r>
        <w:rPr>
          <w:b/>
        </w:rPr>
        <w:t>PRAGMATIC (M2.1)</w:t>
      </w:r>
      <w:r>
        <w:t xml:space="preserve"> – sugerido: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8</w:t>
            </w:r>
          </w:p>
        </w:tc>
      </w:tr>
    </w:tbl>
    <w:p/>
    <w:p>
      <w:pPr>
        <w:pStyle w:val="Heading4"/>
        <w:keepNext/>
        <w:keepLines/>
      </w:pPr>
      <w:r>
        <w:t>4.2.2. Indicador: Cobertura de activos críticos con análisis de riesgos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Q2.2: ¿Qué porcentaje de activos críticos cuenta con análisis de riesgos actualizado en los últimos 12 meses?  </w:t>
      </w:r>
    </w:p>
    <w:p>
      <w:pPr>
        <w:pStyle w:val="ListBullet"/>
        <w:keepLines w:val="1"/>
        <w:widowControl w:val="1"/>
      </w:pPr>
      <w:r>
        <w:t>Metric M2.2: Porcentaje de activos críticos con análisis de riesgos vigente (rangos o valor numérico).</w:t>
      </w:r>
    </w:p>
    <w:p>
      <w:r>
        <w:rPr>
          <w:b/>
        </w:rPr>
        <w:t>PRAGMATIC (M2.2)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 (baja cobertura anticipa problemas futuros).  </w:t>
      </w:r>
    </w:p>
    <w:p>
      <w:pPr>
        <w:pStyle w:val="ListBullet"/>
        <w:keepLines w:val="1"/>
        <w:keepNext w:val="1"/>
        <w:widowControl w:val="1"/>
      </w:pPr>
      <w:r>
        <w:t xml:space="preserve">Relevante: 9.  </w:t>
      </w:r>
    </w:p>
    <w:p>
      <w:pPr>
        <w:pStyle w:val="ListBullet"/>
        <w:keepLines w:val="1"/>
        <w:keepNext w:val="1"/>
        <w:widowControl w:val="1"/>
      </w:pPr>
      <w:r>
        <w:t xml:space="preserve">Accionable: 8 (posible plan de ampliación de cobertura).  </w:t>
      </w:r>
    </w:p>
    <w:p>
      <w:pPr>
        <w:pStyle w:val="ListBullet"/>
        <w:keepLines w:val="1"/>
        <w:keepNext w:val="1"/>
        <w:widowControl w:val="1"/>
      </w:pPr>
      <w:r>
        <w:t xml:space="preserve">Genuino: 8 (si los inventarios están bien).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7 (depende de calidad de inventario).  </w:t>
      </w:r>
    </w:p>
    <w:p>
      <w:pPr>
        <w:pStyle w:val="ListBullet"/>
        <w:keepLines w:val="1"/>
        <w:keepNext w:val="1"/>
        <w:widowControl w:val="1"/>
      </w:pPr>
      <w:r>
        <w:t xml:space="preserve">Oportuno: 7 (revisión anual/semestral).  </w:t>
      </w:r>
    </w:p>
    <w:p>
      <w:pPr>
        <w:pStyle w:val="ListBullet"/>
        <w:keepLines w:val="1"/>
        <w:keepNext w:val="1"/>
        <w:widowControl w:val="1"/>
      </w:pPr>
      <w:r>
        <w:t xml:space="preserve">Independiente: 6 (riesgo de sobreestimar cobertura).  </w:t>
      </w:r>
    </w:p>
    <w:p>
      <w:pPr>
        <w:pStyle w:val="ListBullet"/>
        <w:keepLines w:val="1"/>
        <w:widowControl w:val="1"/>
      </w:pPr>
      <w:r>
        <w:t>Rentable: 7 (requiere inventario y seguimiento).</w:t>
      </w:r>
    </w:p>
    <w:p>
      <w:pPr>
        <w:pStyle w:val="Heading3"/>
        <w:keepNext/>
        <w:keepLines/>
      </w:pPr>
      <w:r>
        <w:t>4.3. G3 – Seguridad gestionada / SGSI (APO13)</w:t>
      </w:r>
    </w:p>
    <w:p>
      <w:pPr>
        <w:pStyle w:val="Heading4"/>
        <w:keepNext/>
        <w:keepLines/>
      </w:pPr>
      <w:r>
        <w:t>4.3.1. Indicador: Existencia y madurez de SGSI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Q3.1: ¿Existe un SGSI formal y operativo? ¿En qué grado?  </w:t>
      </w:r>
    </w:p>
    <w:p>
      <w:pPr>
        <w:pStyle w:val="ListBullet"/>
        <w:keepLines w:val="1"/>
        <w:widowControl w:val="1"/>
      </w:pPr>
      <w:r>
        <w:t>Metric M3.1: Nivel de madurez del SGSI (0–4) en función de la escala de opciones de encuesta.</w:t>
      </w:r>
    </w:p>
    <w:p>
      <w:r>
        <w:rPr>
          <w:b/>
        </w:rPr>
        <w:t>PRAGMATIC (M3.1)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</w:t>
            </w:r>
          </w:p>
        </w:tc>
      </w:tr>
    </w:tbl>
    <w:p/>
    <w:p>
      <w:pPr>
        <w:pStyle w:val="Heading4"/>
        <w:keepNext/>
        <w:keepLines/>
      </w:pPr>
      <w:r>
        <w:t>4.3.2. Indicador: Alineamiento / certificación ISO 27001</w:t>
      </w:r>
    </w:p>
    <w:p>
      <w:pPr>
        <w:pStyle w:val="ListBullet"/>
        <w:keepLines w:val="1"/>
        <w:widowControl w:val="1"/>
      </w:pPr>
      <w:r>
        <w:t>Metric M3.2: Nivel de alineamiento/certificación (0: ninguno; 1: referencia informal; 2: alineado; 3: certificado parcial; 4: certificado amplio).</w:t>
      </w:r>
    </w:p>
    <w:p>
      <w:r>
        <w:rPr>
          <w:b/>
        </w:rPr>
        <w:t>PRAGMATIC (M3.2)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7.  </w:t>
      </w:r>
    </w:p>
    <w:p>
      <w:pPr>
        <w:pStyle w:val="ListBullet"/>
        <w:keepLines w:val="1"/>
        <w:keepNext w:val="1"/>
        <w:widowControl w:val="1"/>
      </w:pPr>
      <w:r>
        <w:t xml:space="preserve">Relevante: 8.  </w:t>
      </w:r>
    </w:p>
    <w:p>
      <w:pPr>
        <w:pStyle w:val="ListBullet"/>
        <w:keepLines w:val="1"/>
        <w:keepNext w:val="1"/>
        <w:widowControl w:val="1"/>
      </w:pPr>
      <w:r>
        <w:t xml:space="preserve">Accionable: 7.  </w:t>
      </w:r>
    </w:p>
    <w:p>
      <w:pPr>
        <w:pStyle w:val="ListBullet"/>
        <w:keepLines w:val="1"/>
        <w:keepNext w:val="1"/>
        <w:widowControl w:val="1"/>
      </w:pPr>
      <w:r>
        <w:t xml:space="preserve">Genuino: 8 (certificación es evidencia contundente).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9 (o está certificada, o no).  </w:t>
      </w:r>
    </w:p>
    <w:p>
      <w:pPr>
        <w:pStyle w:val="ListBullet"/>
        <w:keepLines w:val="1"/>
        <w:keepNext w:val="1"/>
        <w:widowControl w:val="1"/>
      </w:pPr>
      <w:r>
        <w:t xml:space="preserve">Oportuno: 7 (ciclos de certificación).  </w:t>
      </w:r>
    </w:p>
    <w:p>
      <w:pPr>
        <w:pStyle w:val="ListBullet"/>
        <w:keepLines w:val="1"/>
        <w:keepNext w:val="1"/>
        <w:widowControl w:val="1"/>
      </w:pPr>
      <w:r>
        <w:t xml:space="preserve">Independiente: 8 (certificación externa).  </w:t>
      </w:r>
    </w:p>
    <w:p>
      <w:pPr>
        <w:pStyle w:val="ListBullet"/>
        <w:keepLines w:val="1"/>
        <w:widowControl w:val="1"/>
      </w:pPr>
      <w:r>
        <w:t>Rentable: 6 (información fácil, pero certificarse no es “barato”).</w:t>
      </w:r>
    </w:p>
    <w:p>
      <w:pPr>
        <w:pStyle w:val="Heading4"/>
        <w:keepNext/>
        <w:keepLines/>
      </w:pPr>
      <w:r>
        <w:t>4.3.3. Indicador: Porcentaje del presupuesto TI dedicado a seguridad</w:t>
      </w:r>
    </w:p>
    <w:p>
      <w:pPr>
        <w:pStyle w:val="ListBullet"/>
        <w:keepLines w:val="1"/>
        <w:widowControl w:val="1"/>
      </w:pPr>
      <w:r>
        <w:t>Metric M3.3: % del presupuesto TI dedicado a seguridad y gobierno de la información.</w:t>
      </w:r>
    </w:p>
    <w:p>
      <w:r>
        <w:rPr>
          <w:b/>
        </w:rPr>
        <w:t>PRAGMATIC (M3.3)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7 (más inversión no siempre implica más seguridad, pero ayuda).  </w:t>
      </w:r>
    </w:p>
    <w:p>
      <w:pPr>
        <w:pStyle w:val="ListBullet"/>
        <w:keepLines w:val="1"/>
        <w:keepNext w:val="1"/>
        <w:widowControl w:val="1"/>
      </w:pPr>
      <w:r>
        <w:t xml:space="preserve">Relevante: 7.  </w:t>
      </w:r>
    </w:p>
    <w:p>
      <w:pPr>
        <w:pStyle w:val="ListBullet"/>
        <w:keepLines w:val="1"/>
        <w:keepNext w:val="1"/>
        <w:widowControl w:val="1"/>
      </w:pPr>
      <w:r>
        <w:t xml:space="preserve">Accionable: 8 (sirve para justificar aumentos o reasignaciones).  </w:t>
      </w:r>
    </w:p>
    <w:p>
      <w:pPr>
        <w:pStyle w:val="ListBullet"/>
        <w:keepLines w:val="1"/>
        <w:keepNext w:val="1"/>
        <w:widowControl w:val="1"/>
      </w:pPr>
      <w:r>
        <w:t xml:space="preserve">Genuino: 6 (puede esconder gastos en otras partidas).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7 (depende de clasificación contable).  </w:t>
      </w:r>
    </w:p>
    <w:p>
      <w:pPr>
        <w:pStyle w:val="ListBullet"/>
        <w:keepLines w:val="1"/>
        <w:keepNext w:val="1"/>
        <w:widowControl w:val="1"/>
      </w:pPr>
      <w:r>
        <w:t xml:space="preserve">Oportuno: 7 (ciclos presupuestarios).  </w:t>
      </w:r>
    </w:p>
    <w:p>
      <w:pPr>
        <w:pStyle w:val="ListBullet"/>
        <w:keepLines w:val="1"/>
        <w:keepNext w:val="1"/>
        <w:widowControl w:val="1"/>
      </w:pPr>
      <w:r>
        <w:t xml:space="preserve">Independiente: 6.  </w:t>
      </w:r>
    </w:p>
    <w:p>
      <w:pPr>
        <w:pStyle w:val="ListBullet"/>
        <w:keepLines w:val="1"/>
        <w:widowControl w:val="1"/>
      </w:pPr>
      <w:r>
        <w:t>Rentable: 8 (dato contable disponible).</w:t>
      </w:r>
    </w:p>
    <w:p>
      <w:pPr>
        <w:pStyle w:val="Heading3"/>
        <w:keepNext/>
        <w:keepLines/>
      </w:pPr>
      <w:r>
        <w:t>4.4. G4 – Cambios de TI seguros (BAI06)</w:t>
      </w:r>
    </w:p>
    <w:p>
      <w:pPr>
        <w:pStyle w:val="Heading4"/>
        <w:keepNext/>
        <w:keepLines/>
      </w:pPr>
      <w:r>
        <w:t>4.4.1. Indicador: % de cambios críticos con evaluación de seguridad</w:t>
      </w:r>
    </w:p>
    <w:p>
      <w:pPr>
        <w:pStyle w:val="ListBullet"/>
        <w:keepLines w:val="1"/>
        <w:keepNext w:val="1"/>
        <w:widowControl w:val="1"/>
      </w:pPr>
      <w:r>
        <w:t xml:space="preserve">Question:  </w:t>
      </w:r>
    </w:p>
    <w:p>
      <w:pPr>
        <w:pStyle w:val="ListBullet"/>
        <w:keepLines w:val="1"/>
        <w:keepNext w:val="1"/>
        <w:widowControl w:val="1"/>
      </w:pPr>
      <w:r>
        <w:t xml:space="preserve">Q4.1: ¿Qué proporción de cambios en sistemas críticos incluye evaluación formal de impacto en seguridad?  </w:t>
      </w:r>
    </w:p>
    <w:p>
      <w:pPr>
        <w:pStyle w:val="ListBullet"/>
        <w:keepLines w:val="1"/>
        <w:widowControl w:val="1"/>
      </w:pPr>
      <w:r>
        <w:t>Metric M4.1: % de cambios críticos con evaluación de seguridad previa.</w:t>
      </w:r>
    </w:p>
    <w:p>
      <w:r>
        <w:rPr>
          <w:b/>
        </w:rPr>
        <w:t>PRAGMATIC (M4.1)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</w:t>
            </w:r>
          </w:p>
        </w:tc>
      </w:tr>
    </w:tbl>
    <w:p/>
    <w:p>
      <w:pPr>
        <w:pStyle w:val="Heading4"/>
        <w:keepNext/>
        <w:keepLines/>
      </w:pPr>
      <w:r>
        <w:t>4.4.2. Indicador: Incidentes de seguridad debidos a cambios</w:t>
      </w:r>
    </w:p>
    <w:p>
      <w:pPr>
        <w:pStyle w:val="ListBullet"/>
        <w:keepLines w:val="1"/>
        <w:widowControl w:val="1"/>
      </w:pPr>
      <w:r>
        <w:t>Metric M4.2: % de incidentes de seguridad atribuibles a cambios mal gestionados.</w:t>
      </w:r>
    </w:p>
    <w:p>
      <w:r>
        <w:rPr>
          <w:b/>
        </w:rPr>
        <w:t>PRAGMATIC (M4.2)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 (si se mantiene alta, mal asunto).  </w:t>
      </w:r>
    </w:p>
    <w:p>
      <w:pPr>
        <w:pStyle w:val="ListBullet"/>
        <w:keepLines w:val="1"/>
        <w:keepNext w:val="1"/>
        <w:widowControl w:val="1"/>
      </w:pPr>
      <w:r>
        <w:t xml:space="preserve">Relevante: 8.  </w:t>
      </w:r>
    </w:p>
    <w:p>
      <w:pPr>
        <w:pStyle w:val="ListBullet"/>
        <w:keepLines w:val="1"/>
        <w:keepNext w:val="1"/>
        <w:widowControl w:val="1"/>
      </w:pPr>
      <w:r>
        <w:t xml:space="preserve">Accionable: 8 (dirige mejoras al proceso de cambios).  </w:t>
      </w:r>
    </w:p>
    <w:p>
      <w:pPr>
        <w:pStyle w:val="ListBullet"/>
        <w:keepLines w:val="1"/>
        <w:keepNext w:val="1"/>
        <w:widowControl w:val="1"/>
      </w:pPr>
      <w:r>
        <w:t xml:space="preserve">Genuino: 6 (análisis de causa raíz no siempre riguroso).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6.  </w:t>
      </w:r>
    </w:p>
    <w:p>
      <w:pPr>
        <w:pStyle w:val="ListBullet"/>
        <w:keepLines w:val="1"/>
        <w:keepNext w:val="1"/>
        <w:widowControl w:val="1"/>
      </w:pPr>
      <w:r>
        <w:t xml:space="preserve">Oportuno: 7.  </w:t>
      </w:r>
    </w:p>
    <w:p>
      <w:pPr>
        <w:pStyle w:val="ListBullet"/>
        <w:keepLines w:val="1"/>
        <w:keepNext w:val="1"/>
        <w:widowControl w:val="1"/>
      </w:pPr>
      <w:r>
        <w:t xml:space="preserve">Independiente: 6.  </w:t>
      </w:r>
    </w:p>
    <w:p>
      <w:pPr>
        <w:pStyle w:val="ListBullet"/>
        <w:keepLines w:val="1"/>
        <w:widowControl w:val="1"/>
      </w:pPr>
      <w:r>
        <w:t>Rentable: 6.</w:t>
      </w:r>
    </w:p>
    <w:p>
      <w:pPr>
        <w:pStyle w:val="Heading3"/>
        <w:keepNext/>
        <w:keepLines/>
      </w:pPr>
      <w:r>
        <w:t>4.5. G5 – Servicios de seguridad eficaces (DSS05)</w:t>
      </w:r>
    </w:p>
    <w:p>
      <w:pPr>
        <w:pStyle w:val="Heading4"/>
        <w:keepNext/>
        <w:keepLines/>
      </w:pPr>
      <w:r>
        <w:t>4.5.1. Indicador: Nivel de capacidades SOC</w:t>
      </w:r>
    </w:p>
    <w:p>
      <w:pPr>
        <w:pStyle w:val="ListBullet"/>
        <w:keepLines w:val="1"/>
        <w:widowControl w:val="1"/>
      </w:pPr>
      <w:r>
        <w:t>Metric M5.1: Nivel de madurez de capacidades de monitorización y SOC (escala ordinal 0–4 basada en opciones de encuesta).</w:t>
      </w:r>
    </w:p>
    <w:p>
      <w:r>
        <w:rPr>
          <w:b/>
        </w:rPr>
        <w:t>PRAGMATIC (M5.1)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</w:t>
            </w:r>
          </w:p>
        </w:tc>
      </w:tr>
    </w:tbl>
    <w:p/>
    <w:p>
      <w:pPr>
        <w:pStyle w:val="Heading4"/>
        <w:keepNext/>
        <w:keepLines/>
      </w:pPr>
      <w:r>
        <w:t>4.5.2. Indicador: MTTD y MTTR de incidentes</w:t>
      </w:r>
    </w:p>
    <w:p>
      <w:pPr>
        <w:pStyle w:val="ListBullet"/>
        <w:keepLines w:val="1"/>
        <w:widowControl w:val="1"/>
      </w:pPr>
      <w:r>
        <w:t>Metrics M5.2: MTTD medio; MTTR medio para incidentes significativos.[web:46][web:21]</w:t>
      </w:r>
    </w:p>
    <w:p>
      <w:r>
        <w:rPr>
          <w:b/>
        </w:rPr>
        <w:t>PRAGMATIC (M5.2)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9 (tiempos largos anticipan impacto elevado).  </w:t>
      </w:r>
    </w:p>
    <w:p>
      <w:pPr>
        <w:pStyle w:val="ListBullet"/>
        <w:keepLines w:val="1"/>
        <w:keepNext w:val="1"/>
        <w:widowControl w:val="1"/>
      </w:pPr>
      <w:r>
        <w:t xml:space="preserve">Relevante: 9.  </w:t>
      </w:r>
    </w:p>
    <w:p>
      <w:pPr>
        <w:pStyle w:val="ListBullet"/>
        <w:keepLines w:val="1"/>
        <w:keepNext w:val="1"/>
        <w:widowControl w:val="1"/>
      </w:pPr>
      <w:r>
        <w:t xml:space="preserve">Accionable: 9 (objetivos claros de mejora).  </w:t>
      </w:r>
    </w:p>
    <w:p>
      <w:pPr>
        <w:pStyle w:val="ListBullet"/>
        <w:keepLines w:val="1"/>
        <w:keepNext w:val="1"/>
        <w:widowControl w:val="1"/>
      </w:pPr>
      <w:r>
        <w:t xml:space="preserve">Genuino: 8 (si se definen bien los incidentes significativos).  </w:t>
      </w:r>
    </w:p>
    <w:p>
      <w:pPr>
        <w:pStyle w:val="ListBullet"/>
        <w:keepLines w:val="1"/>
        <w:keepNext w:val="1"/>
        <w:widowControl w:val="1"/>
      </w:pPr>
      <w:r>
        <w:t xml:space="preserve">Significativo: 9.  </w:t>
      </w:r>
    </w:p>
    <w:p>
      <w:pPr>
        <w:pStyle w:val="ListBullet"/>
        <w:keepLines w:val="1"/>
        <w:keepNext w:val="1"/>
        <w:widowControl w:val="1"/>
      </w:pPr>
      <w:r>
        <w:t xml:space="preserve">Preciso: 7‑8.  </w:t>
      </w:r>
    </w:p>
    <w:p>
      <w:pPr>
        <w:pStyle w:val="ListBullet"/>
        <w:keepLines w:val="1"/>
        <w:keepNext w:val="1"/>
        <w:widowControl w:val="1"/>
      </w:pPr>
      <w:r>
        <w:t xml:space="preserve">Oportuno: 7 (reportes periódicos).  </w:t>
      </w:r>
    </w:p>
    <w:p>
      <w:pPr>
        <w:pStyle w:val="ListBullet"/>
        <w:keepLines w:val="1"/>
        <w:keepNext w:val="1"/>
        <w:widowControl w:val="1"/>
      </w:pPr>
      <w:r>
        <w:t xml:space="preserve">Independiente: 6‑7 (puede haber sesgos de clasificación).  </w:t>
      </w:r>
    </w:p>
    <w:p>
      <w:pPr>
        <w:pStyle w:val="ListBullet"/>
        <w:keepLines w:val="1"/>
        <w:widowControl w:val="1"/>
      </w:pPr>
      <w:r>
        <w:t>Rentable: 7.</w:t>
      </w:r>
    </w:p>
    <w:p>
      <w:pPr>
        <w:pStyle w:val="Heading4"/>
        <w:keepNext/>
        <w:keepLines/>
      </w:pPr>
      <w:r>
        <w:t>4.5.3. Indicador: % de vulnerabilidades críticas resueltas en plazo</w:t>
      </w:r>
    </w:p>
    <w:p>
      <w:pPr>
        <w:pStyle w:val="ListBullet"/>
        <w:keepLines w:val="1"/>
        <w:widowControl w:val="1"/>
      </w:pPr>
      <w:r>
        <w:t>Metric M5.3: % de vulnerabilidades críticas resueltas dentro del SLA interno.</w:t>
      </w:r>
    </w:p>
    <w:p>
      <w:r>
        <w:rPr>
          <w:b/>
        </w:rPr>
        <w:t>PRAGMATIC (M5.3)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</w:t>
            </w:r>
          </w:p>
        </w:tc>
      </w:tr>
    </w:tbl>
    <w:p/>
    <w:p>
      <w:pPr>
        <w:pStyle w:val="Heading3"/>
        <w:keepNext/>
        <w:keepLines/>
      </w:pPr>
      <w:r>
        <w:t>4.6. G6 – Continuidad y resiliencia (DSS04)</w:t>
      </w:r>
    </w:p>
    <w:p>
      <w:pPr>
        <w:pStyle w:val="Heading4"/>
        <w:keepNext/>
        <w:keepLines/>
      </w:pPr>
      <w:r>
        <w:t>4.6.1. Indicador: BCP/DRP probados</w:t>
      </w:r>
    </w:p>
    <w:p>
      <w:pPr>
        <w:pStyle w:val="ListBullet"/>
        <w:keepLines w:val="1"/>
        <w:widowControl w:val="1"/>
      </w:pPr>
      <w:r>
        <w:t>Metric M6.1: Estado y frecuencia de pruebas de BCP/DRP (escala ordinal 0–4).</w:t>
      </w:r>
    </w:p>
    <w:p>
      <w:r>
        <w:rPr>
          <w:b/>
        </w:rPr>
        <w:t>PRAGMATIC (M6.1)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8.  </w:t>
      </w:r>
    </w:p>
    <w:p>
      <w:pPr>
        <w:pStyle w:val="ListBullet"/>
        <w:keepLines w:val="1"/>
        <w:keepNext w:val="1"/>
        <w:widowControl w:val="1"/>
      </w:pPr>
      <w:r>
        <w:t xml:space="preserve">Relevante: 9.  </w:t>
      </w:r>
    </w:p>
    <w:p>
      <w:pPr>
        <w:pStyle w:val="ListBullet"/>
        <w:keepLines w:val="1"/>
        <w:keepNext w:val="1"/>
        <w:widowControl w:val="1"/>
      </w:pPr>
      <w:r>
        <w:t xml:space="preserve">Accionable: 8.  </w:t>
      </w:r>
    </w:p>
    <w:p>
      <w:pPr>
        <w:pStyle w:val="ListBullet"/>
        <w:keepLines w:val="1"/>
        <w:keepNext w:val="1"/>
        <w:widowControl w:val="1"/>
      </w:pPr>
      <w:r>
        <w:t xml:space="preserve">Genuino: 7.  </w:t>
      </w:r>
    </w:p>
    <w:p>
      <w:pPr>
        <w:pStyle w:val="ListBullet"/>
        <w:keepLines w:val="1"/>
        <w:keepNext w:val="1"/>
        <w:widowControl w:val="1"/>
      </w:pPr>
      <w:r>
        <w:t xml:space="preserve">Significativo: 9.  </w:t>
      </w:r>
    </w:p>
    <w:p>
      <w:pPr>
        <w:pStyle w:val="ListBullet"/>
        <w:keepLines w:val="1"/>
        <w:keepNext w:val="1"/>
        <w:widowControl w:val="1"/>
      </w:pPr>
      <w:r>
        <w:t xml:space="preserve">Preciso: 7.  </w:t>
      </w:r>
    </w:p>
    <w:p>
      <w:pPr>
        <w:pStyle w:val="ListBullet"/>
        <w:keepLines w:val="1"/>
        <w:keepNext w:val="1"/>
        <w:widowControl w:val="1"/>
      </w:pPr>
      <w:r>
        <w:t xml:space="preserve">Oportuno: 7.  </w:t>
      </w:r>
    </w:p>
    <w:p>
      <w:pPr>
        <w:pStyle w:val="ListBullet"/>
        <w:keepLines w:val="1"/>
        <w:keepNext w:val="1"/>
        <w:widowControl w:val="1"/>
      </w:pPr>
      <w:r>
        <w:t xml:space="preserve">Independiente: 6.  </w:t>
      </w:r>
    </w:p>
    <w:p>
      <w:pPr>
        <w:pStyle w:val="ListBullet"/>
        <w:keepLines w:val="1"/>
        <w:widowControl w:val="1"/>
      </w:pPr>
      <w:r>
        <w:t>Rentable: 7.</w:t>
      </w:r>
    </w:p>
    <w:p>
      <w:pPr>
        <w:pStyle w:val="Heading4"/>
        <w:keepNext/>
        <w:keepLines/>
      </w:pPr>
      <w:r>
        <w:t>4.6.2. Indicador: Simulacros de cibercrisis con dirección</w:t>
      </w:r>
    </w:p>
    <w:p>
      <w:pPr>
        <w:pStyle w:val="ListBullet"/>
        <w:keepLines w:val="1"/>
        <w:widowControl w:val="1"/>
      </w:pPr>
      <w:r>
        <w:t>Metric M6.2: Frecuencia de simulacros de cibercrisis con participación de alta dirección.</w:t>
      </w:r>
    </w:p>
    <w:p>
      <w:r>
        <w:rPr>
          <w:b/>
        </w:rPr>
        <w:t>PRAGMATIC (M6.2)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 (organizaciones que ensayan responden mejor).  </w:t>
      </w:r>
    </w:p>
    <w:p>
      <w:pPr>
        <w:pStyle w:val="ListBullet"/>
        <w:keepLines w:val="1"/>
        <w:keepNext w:val="1"/>
        <w:widowControl w:val="1"/>
      </w:pPr>
      <w:r>
        <w:t xml:space="preserve">Relevante: 8.  </w:t>
      </w:r>
    </w:p>
    <w:p>
      <w:pPr>
        <w:pStyle w:val="ListBullet"/>
        <w:keepLines w:val="1"/>
        <w:keepNext w:val="1"/>
        <w:widowControl w:val="1"/>
      </w:pPr>
      <w:r>
        <w:t xml:space="preserve">Accionable: 8.  </w:t>
      </w:r>
    </w:p>
    <w:p>
      <w:pPr>
        <w:pStyle w:val="ListBullet"/>
        <w:keepLines w:val="1"/>
        <w:keepNext w:val="1"/>
        <w:widowControl w:val="1"/>
      </w:pPr>
      <w:r>
        <w:t xml:space="preserve">Genuino: 7.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8 (agenda y actas).  </w:t>
      </w:r>
    </w:p>
    <w:p>
      <w:pPr>
        <w:pStyle w:val="ListBullet"/>
        <w:keepLines w:val="1"/>
        <w:keepNext w:val="1"/>
        <w:widowControl w:val="1"/>
      </w:pPr>
      <w:r>
        <w:t xml:space="preserve">Oportuno: 7.  </w:t>
      </w:r>
    </w:p>
    <w:p>
      <w:pPr>
        <w:pStyle w:val="ListBullet"/>
        <w:keepLines w:val="1"/>
        <w:keepNext w:val="1"/>
        <w:widowControl w:val="1"/>
      </w:pPr>
      <w:r>
        <w:t xml:space="preserve">Independiente: 7.  </w:t>
      </w:r>
    </w:p>
    <w:p>
      <w:pPr>
        <w:pStyle w:val="ListBullet"/>
        <w:keepLines w:val="1"/>
        <w:widowControl w:val="1"/>
      </w:pPr>
      <w:r>
        <w:t>Rentable: 6.</w:t>
      </w:r>
    </w:p>
    <w:p>
      <w:pPr>
        <w:pStyle w:val="Heading3"/>
        <w:keepNext/>
        <w:keepLines/>
      </w:pPr>
      <w:r>
        <w:t>4.7. G7 – Monitorización, auditoría y mejora (MEA01‑03)</w:t>
      </w:r>
    </w:p>
    <w:p>
      <w:pPr>
        <w:pStyle w:val="Heading4"/>
        <w:keepNext/>
        <w:keepLines/>
      </w:pPr>
      <w:r>
        <w:t>4.7.1. Indicador: Cuadro de mando de ciberseguridad</w:t>
      </w:r>
    </w:p>
    <w:p>
      <w:pPr>
        <w:pStyle w:val="ListBullet"/>
        <w:keepLines w:val="1"/>
        <w:widowControl w:val="1"/>
      </w:pPr>
      <w:r>
        <w:t>Metric M7.1: Nivel de formalización del cuadro de mando de ciberseguridad (0–4).</w:t>
      </w:r>
    </w:p>
    <w:p>
      <w:r>
        <w:rPr>
          <w:b/>
        </w:rPr>
        <w:t>PRAGMATIC (M7.1)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8</w:t>
            </w:r>
          </w:p>
        </w:tc>
      </w:tr>
    </w:tbl>
    <w:p/>
    <w:p>
      <w:pPr>
        <w:pStyle w:val="Heading4"/>
        <w:keepNext/>
        <w:keepLines/>
      </w:pPr>
      <w:r>
        <w:t>4.7.2. Indicador: Auditorías y acciones correctivas</w:t>
      </w:r>
    </w:p>
    <w:p>
      <w:pPr>
        <w:pStyle w:val="ListBullet"/>
        <w:keepLines w:val="1"/>
        <w:keepNext w:val="1"/>
        <w:widowControl w:val="1"/>
      </w:pPr>
      <w:r>
        <w:t xml:space="preserve">Metric M7.2: Frecuencia de auditorías de seguridad (ordinal).  </w:t>
      </w:r>
    </w:p>
    <w:p>
      <w:pPr>
        <w:pStyle w:val="ListBullet"/>
        <w:keepLines w:val="1"/>
        <w:widowControl w:val="1"/>
      </w:pPr>
      <w:r>
        <w:t>Metric M7.3: % de acciones correctivas cerradas en plazo.</w:t>
      </w:r>
    </w:p>
    <w:p>
      <w:r>
        <w:rPr>
          <w:b/>
        </w:rPr>
        <w:t>PRAGMATIC (M7.2 + M7.3)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Predictivo: 8.  </w:t>
      </w:r>
    </w:p>
    <w:p>
      <w:pPr>
        <w:pStyle w:val="ListBullet"/>
        <w:keepLines w:val="1"/>
        <w:keepNext w:val="1"/>
        <w:widowControl w:val="1"/>
      </w:pPr>
      <w:r>
        <w:t xml:space="preserve">Relevante: 8.  </w:t>
      </w:r>
    </w:p>
    <w:p>
      <w:pPr>
        <w:pStyle w:val="ListBullet"/>
        <w:keepLines w:val="1"/>
        <w:keepNext w:val="1"/>
        <w:widowControl w:val="1"/>
      </w:pPr>
      <w:r>
        <w:t xml:space="preserve">Accionable: 8.  </w:t>
      </w:r>
    </w:p>
    <w:p>
      <w:pPr>
        <w:pStyle w:val="ListBullet"/>
        <w:keepLines w:val="1"/>
        <w:keepNext w:val="1"/>
        <w:widowControl w:val="1"/>
      </w:pPr>
      <w:r>
        <w:t xml:space="preserve">Genuino: 7.  </w:t>
      </w:r>
    </w:p>
    <w:p>
      <w:pPr>
        <w:pStyle w:val="ListBullet"/>
        <w:keepLines w:val="1"/>
        <w:keepNext w:val="1"/>
        <w:widowControl w:val="1"/>
      </w:pPr>
      <w:r>
        <w:t xml:space="preserve">Significativo: 8.  </w:t>
      </w:r>
    </w:p>
    <w:p>
      <w:pPr>
        <w:pStyle w:val="ListBullet"/>
        <w:keepLines w:val="1"/>
        <w:keepNext w:val="1"/>
        <w:widowControl w:val="1"/>
      </w:pPr>
      <w:r>
        <w:t xml:space="preserve">Preciso: 7.  </w:t>
      </w:r>
    </w:p>
    <w:p>
      <w:pPr>
        <w:pStyle w:val="ListBullet"/>
        <w:keepLines w:val="1"/>
        <w:keepNext w:val="1"/>
        <w:widowControl w:val="1"/>
      </w:pPr>
      <w:r>
        <w:t xml:space="preserve">Oportuno: 7.  </w:t>
      </w:r>
    </w:p>
    <w:p>
      <w:pPr>
        <w:pStyle w:val="ListBullet"/>
        <w:keepLines w:val="1"/>
        <w:keepNext w:val="1"/>
        <w:widowControl w:val="1"/>
      </w:pPr>
      <w:r>
        <w:t xml:space="preserve">Independiente: 6‑7.  </w:t>
      </w:r>
    </w:p>
    <w:p>
      <w:pPr>
        <w:pStyle w:val="ListBullet"/>
        <w:keepLines w:val="1"/>
        <w:widowControl w:val="1"/>
      </w:pPr>
      <w:r>
        <w:t>Rentable: 7.</w:t>
      </w:r>
    </w:p>
    <w:p>
      <w:pPr>
        <w:pStyle w:val="Heading2"/>
        <w:keepNext/>
        <w:keepLines/>
      </w:pPr>
      <w:r>
        <w:rPr>
          <w:color w:val="0066CC"/>
        </w:rPr>
        <w:t>5. Uso del marco GQM + PRAGMATIC a nivel nacional</w:t>
      </w:r>
    </w:p>
    <w:p>
      <w:pPr>
        <w:pStyle w:val="ListNumber"/>
        <w:keepLines w:val="1"/>
        <w:keepNext w:val="1"/>
        <w:widowControl w:val="1"/>
      </w:pPr>
      <w:r>
        <w:t xml:space="preserve">Definir objetivos nacionales (Goals) alineados con estrategia de ciberseguridad y marcos (COBIT, NIS2, ENS, etc.).[web:18][web:24][web:43]  </w:t>
      </w:r>
    </w:p>
    <w:p>
      <w:pPr>
        <w:pStyle w:val="ListNumber"/>
        <w:keepLines w:val="1"/>
        <w:keepNext w:val="1"/>
        <w:widowControl w:val="1"/>
      </w:pPr>
      <w:r>
        <w:t xml:space="preserve">Derivar preguntas (Questions) que permitan caracterizar el estado de cada objetivo.  </w:t>
      </w:r>
    </w:p>
    <w:p>
      <w:pPr>
        <w:pStyle w:val="ListNumber"/>
        <w:keepLines w:val="1"/>
        <w:keepNext w:val="1"/>
        <w:widowControl w:val="1"/>
      </w:pPr>
      <w:r>
        <w:t xml:space="preserve">Seleccionar métricas (Metrics) factibles a partir de datos que las organizaciones puedan aportar (encuestas, sistemas, registros).  </w:t>
      </w:r>
    </w:p>
    <w:p>
      <w:pPr>
        <w:pStyle w:val="ListNumber"/>
        <w:keepLines w:val="1"/>
        <w:keepNext w:val="1"/>
        <w:widowControl w:val="1"/>
      </w:pPr>
      <w:r>
        <w:t xml:space="preserve">Puntuar PRAGMATIC cada métrica para priorizar las más útiles y descartar las decorativas.  </w:t>
      </w:r>
    </w:p>
    <w:p>
      <w:pPr>
        <w:pStyle w:val="ListNumber"/>
        <w:keepLines w:val="1"/>
        <w:widowControl w:val="1"/>
      </w:pPr>
      <w:r>
        <w:t>Construir índices agregados (IGM, subíndices por dominio) sabiendo exactamente qué se está midiendo y qué nivel de calidad tiene cada métrica.</w:t>
      </w:r>
    </w:p>
    <w:p>
      <w:pPr>
        <w:pStyle w:val="Heading2"/>
        <w:keepNext/>
        <w:keepLines/>
      </w:pPr>
      <w:r>
        <w:rPr>
          <w:color w:val="0066CC"/>
        </w:rPr>
        <w:t>6. Consideraciones finales</w:t>
      </w:r>
    </w:p>
    <w:p>
      <w:pPr>
        <w:pStyle w:val="ListBullet"/>
        <w:keepLines w:val="1"/>
        <w:keepNext w:val="1"/>
        <w:widowControl w:val="1"/>
      </w:pPr>
      <w:r>
        <w:t xml:space="preserve">El marco no es estático: las métricas pueden evolucionar según cambien amenazas, normativas y capacidades de medición.  </w:t>
      </w:r>
    </w:p>
    <w:p>
      <w:pPr>
        <w:pStyle w:val="ListBullet"/>
        <w:keepLines w:val="1"/>
        <w:keepNext w:val="1"/>
        <w:widowControl w:val="1"/>
      </w:pPr>
      <w:r>
        <w:t xml:space="preserve">El análisis PRAGMATIC invita a revisar periódicamente si una métrica sigue siendo digna de seguir viva.  </w:t>
      </w:r>
    </w:p>
    <w:p>
      <w:pPr>
        <w:pStyle w:val="ListBullet"/>
        <w:keepLines w:val="1"/>
        <w:widowControl w:val="1"/>
      </w:pPr>
      <w:r>
        <w:t>La combinación GQM + PRAGMATIC actúa como vacuna contra el síndrome de “dashboard bonito pero inútil”.</w:t>
      </w:r>
    </w:p>
    <w:p>
      <w:r>
        <w:rPr>
          <w:i/>
        </w:rPr>
        <w:t>Fin del documento.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