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COBIT 2019 de Ciberseguridad y Gobierno de TI</w:t>
      </w:r>
    </w:p>
    <w:p>
      <w:pPr>
        <w:pStyle w:val="Heading2"/>
        <w:keepNext/>
        <w:keepLines/>
      </w:pPr>
      <w:r>
        <w:rPr>
          <w:color w:val="0066CC"/>
        </w:rPr>
        <w:t>Aplicación empresarial (España) con enfoque comparativo internacional</w:t>
      </w:r>
    </w:p>
    <w:p>
      <w:r>
        <w:t>Versión 1.0 – Inspirada en COBIT 2019 y marcos de ciberseguridad alineados con estándares internacionales.[web:18][web:39]</w:t>
      </w:r>
      <w:r/>
      <w:r>
        <w:br/>
        <w:t>Uso recomendado: empresas y organismos de tamaño medio y grande, especialmente sectores regulados y críticos.[web:24][web:44]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r>
        <w:rPr>
          <w:b/>
        </w:rPr>
        <w:t>0.1. Sector principal de actividad</w:t>
      </w:r>
    </w:p>
    <w:p>
      <w:pPr>
        <w:pStyle w:val="ListBullet"/>
        <w:keepLines w:val="1"/>
        <w:keepNext w:val="1"/>
        <w:widowControl w:val="1"/>
      </w:pPr>
      <w:r>
        <w:t xml:space="preserve">[ ] Administración Pública  </w:t>
      </w:r>
    </w:p>
    <w:p>
      <w:pPr>
        <w:pStyle w:val="ListBullet"/>
        <w:keepLines w:val="1"/>
        <w:keepNext w:val="1"/>
        <w:widowControl w:val="1"/>
      </w:pPr>
      <w:r>
        <w:t xml:space="preserve">[ ] Energía / Utilities  </w:t>
      </w:r>
    </w:p>
    <w:p>
      <w:pPr>
        <w:pStyle w:val="ListBullet"/>
        <w:keepLines w:val="1"/>
        <w:keepNext w:val="1"/>
        <w:widowControl w:val="1"/>
      </w:pPr>
      <w:r>
        <w:t xml:space="preserve">[ ] Sanidad  </w:t>
      </w:r>
    </w:p>
    <w:p>
      <w:pPr>
        <w:pStyle w:val="ListBullet"/>
        <w:keepLines w:val="1"/>
        <w:keepNext w:val="1"/>
        <w:widowControl w:val="1"/>
      </w:pPr>
      <w:r>
        <w:t xml:space="preserve">[ ] Financiero / Seguros  </w:t>
      </w:r>
    </w:p>
    <w:p>
      <w:pPr>
        <w:pStyle w:val="ListBullet"/>
        <w:keepLines w:val="1"/>
        <w:keepNext w:val="1"/>
        <w:widowControl w:val="1"/>
      </w:pPr>
      <w:r>
        <w:t xml:space="preserve">[ ] Industria / Manufactura  </w:t>
      </w:r>
    </w:p>
    <w:p>
      <w:pPr>
        <w:pStyle w:val="ListBullet"/>
        <w:keepLines w:val="1"/>
        <w:keepNext w:val="1"/>
        <w:widowControl w:val="1"/>
      </w:pPr>
      <w:r>
        <w:t xml:space="preserve">[ ] Telecomunicaciones / Tecnología  </w:t>
      </w:r>
    </w:p>
    <w:p>
      <w:pPr>
        <w:pStyle w:val="ListBullet"/>
        <w:keepLines w:val="1"/>
        <w:keepNext w:val="1"/>
        <w:widowControl w:val="1"/>
      </w:pPr>
      <w:r>
        <w:t xml:space="preserve">[ ] Transporte / Logística  </w:t>
      </w:r>
    </w:p>
    <w:p>
      <w:pPr>
        <w:pStyle w:val="ListBullet"/>
        <w:keepLines w:val="1"/>
        <w:widowControl w:val="1"/>
      </w:pPr>
      <w:r>
        <w:t>[ ] Otros (especificar): _________</w:t>
      </w:r>
    </w:p>
    <w:p>
      <w:r>
        <w:rPr>
          <w:b/>
        </w:rPr>
        <w:t>0.2. Tamaño aproximado (empleados)</w:t>
      </w:r>
    </w:p>
    <w:p>
      <w:pPr>
        <w:pStyle w:val="ListBullet"/>
        <w:keepLines w:val="1"/>
        <w:keepNext w:val="1"/>
        <w:widowControl w:val="1"/>
      </w:pPr>
      <w:r>
        <w:t xml:space="preserve">[ ] &lt; 50  </w:t>
      </w:r>
    </w:p>
    <w:p>
      <w:pPr>
        <w:pStyle w:val="ListBullet"/>
        <w:keepLines w:val="1"/>
        <w:keepNext w:val="1"/>
        <w:widowControl w:val="1"/>
      </w:pPr>
      <w:r>
        <w:t xml:space="preserve">[ ] 50 – 249  </w:t>
      </w:r>
    </w:p>
    <w:p>
      <w:pPr>
        <w:pStyle w:val="ListBullet"/>
        <w:keepLines w:val="1"/>
        <w:keepNext w:val="1"/>
        <w:widowControl w:val="1"/>
      </w:pPr>
      <w:r>
        <w:t xml:space="preserve">[ ] 250 – 999  </w:t>
      </w:r>
    </w:p>
    <w:p>
      <w:pPr>
        <w:pStyle w:val="ListBullet"/>
        <w:keepLines w:val="1"/>
        <w:keepNext w:val="1"/>
        <w:widowControl w:val="1"/>
      </w:pPr>
      <w:r>
        <w:t xml:space="preserve">[ ] 1.000 – 4.999  </w:t>
      </w:r>
    </w:p>
    <w:p>
      <w:pPr>
        <w:pStyle w:val="ListBullet"/>
        <w:keepLines w:val="1"/>
        <w:widowControl w:val="1"/>
      </w:pPr>
      <w:r>
        <w:t>[ ] ≥ 5.000</w:t>
      </w:r>
    </w:p>
    <w:p>
      <w:r>
        <w:rPr>
          <w:b/>
        </w:rPr>
        <w:t>0.3. Alcance geográfico</w:t>
      </w:r>
    </w:p>
    <w:p>
      <w:pPr>
        <w:pStyle w:val="ListBullet"/>
        <w:keepLines w:val="1"/>
        <w:keepNext w:val="1"/>
        <w:widowControl w:val="1"/>
      </w:pPr>
      <w:r>
        <w:t xml:space="preserve">[ ] Solo ámbito local / regional  </w:t>
      </w:r>
    </w:p>
    <w:p>
      <w:pPr>
        <w:pStyle w:val="ListBullet"/>
        <w:keepLines w:val="1"/>
        <w:keepNext w:val="1"/>
        <w:widowControl w:val="1"/>
      </w:pPr>
      <w:r>
        <w:t xml:space="preserve">[ ] Nacional  </w:t>
      </w:r>
    </w:p>
    <w:p>
      <w:pPr>
        <w:pStyle w:val="ListBullet"/>
        <w:keepLines w:val="1"/>
        <w:keepNext w:val="1"/>
        <w:widowControl w:val="1"/>
      </w:pPr>
      <w:r>
        <w:t xml:space="preserve">[ ] Unión Europea  </w:t>
      </w:r>
    </w:p>
    <w:p>
      <w:pPr>
        <w:pStyle w:val="ListBullet"/>
        <w:keepLines w:val="1"/>
        <w:widowControl w:val="1"/>
      </w:pPr>
      <w:r>
        <w:t>[ ] Internacional (fuera de UE)</w:t>
      </w:r>
    </w:p>
    <w:p>
      <w:r>
        <w:rPr>
          <w:b/>
        </w:rPr>
        <w:t>0.4. Rol del encuestado</w:t>
      </w:r>
    </w:p>
    <w:p>
      <w:pPr>
        <w:pStyle w:val="ListBullet"/>
        <w:keepLines w:val="1"/>
        <w:keepNext w:val="1"/>
        <w:widowControl w:val="1"/>
      </w:pPr>
      <w:r>
        <w:t xml:space="preserve">[ ] CISO / Responsable de Seguridad  </w:t>
      </w:r>
    </w:p>
    <w:p>
      <w:pPr>
        <w:pStyle w:val="ListBullet"/>
        <w:keepLines w:val="1"/>
        <w:keepNext w:val="1"/>
        <w:widowControl w:val="1"/>
      </w:pPr>
      <w:r>
        <w:t xml:space="preserve">[ ] CIO / Director de TI  </w:t>
      </w:r>
    </w:p>
    <w:p>
      <w:pPr>
        <w:pStyle w:val="ListBullet"/>
        <w:keepLines w:val="1"/>
        <w:keepNext w:val="1"/>
        <w:widowControl w:val="1"/>
      </w:pPr>
      <w:r>
        <w:t xml:space="preserve">[ ] Responsable de Riesgos / Compliance  </w:t>
      </w:r>
    </w:p>
    <w:p>
      <w:pPr>
        <w:pStyle w:val="ListBullet"/>
        <w:keepLines w:val="1"/>
        <w:keepNext w:val="1"/>
        <w:widowControl w:val="1"/>
      </w:pPr>
      <w:r>
        <w:t xml:space="preserve">[ ] Dirección General / Consejo  </w:t>
      </w:r>
    </w:p>
    <w:p>
      <w:pPr>
        <w:pStyle w:val="ListBullet"/>
        <w:keepLines w:val="1"/>
        <w:widowControl w:val="1"/>
      </w:pPr>
      <w:r>
        <w:t>[ ] Otro (especificar): _________</w:t>
      </w:r>
    </w:p>
    <w:p>
      <w:pPr>
        <w:pStyle w:val="Heading2"/>
        <w:keepNext/>
        <w:keepLines/>
      </w:pPr>
      <w:r>
        <w:rPr>
          <w:color w:val="0066CC"/>
        </w:rPr>
        <w:t>1. Gobierno y optimización del riesgo (EDM03)</w:t>
      </w:r>
    </w:p>
    <w:p>
      <w:r>
        <w:t xml:space="preserve">Objetivo COBIT relacionado: </w:t>
      </w:r>
      <w:r>
        <w:rPr>
          <w:b/>
        </w:rPr>
        <w:t>EDM03 – Ensured Risk Optimization</w:t>
      </w:r>
      <w:r>
        <w:t>.[web:34][web:27]</w:t>
      </w:r>
    </w:p>
    <w:p>
      <w:pPr>
        <w:pStyle w:val="Heading3"/>
        <w:keepNext/>
        <w:keepLines/>
      </w:pPr>
      <w:r>
        <w:t>1.1. Supervisión de la ciberseguridad por el órgano de gobierno</w:t>
      </w:r>
    </w:p>
    <w:p>
      <w:r>
        <w:rPr>
          <w:b/>
        </w:rPr>
        <w:t>P1.1.1</w:t>
      </w:r>
      <w:r>
        <w:t xml:space="preserve"> ¿Con qué frecuencia revisa el máximo órgano de gobierno (Consejo, Comité de Dirección, equivalente) la información estructurada de ciberseguridad (indicadores, riesgos, planes)?</w:t>
      </w:r>
    </w:p>
    <w:p>
      <w:pPr>
        <w:pStyle w:val="ListBullet"/>
        <w:keepLines w:val="1"/>
        <w:keepNext w:val="1"/>
        <w:widowControl w:val="1"/>
      </w:pPr>
      <w:r>
        <w:t xml:space="preserve">[ ] Nunca; la ciberseguridad es un rumor de pasillo.  </w:t>
      </w:r>
    </w:p>
    <w:p>
      <w:pPr>
        <w:pStyle w:val="ListBullet"/>
        <w:keepLines w:val="1"/>
        <w:keepNext w:val="1"/>
        <w:widowControl w:val="1"/>
      </w:pPr>
      <w:r>
        <w:t xml:space="preserve">[ ] Solo en caso de incidente grave (cuando el fuego ya es visible).  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año.  </w:t>
      </w:r>
    </w:p>
    <w:p>
      <w:pPr>
        <w:pStyle w:val="ListBullet"/>
        <w:keepLines w:val="1"/>
        <w:keepNext w:val="1"/>
        <w:widowControl w:val="1"/>
      </w:pPr>
      <w:r>
        <w:t xml:space="preserve">[ ] Trimestralmente.  </w:t>
      </w:r>
    </w:p>
    <w:p>
      <w:pPr>
        <w:pStyle w:val="ListBullet"/>
        <w:keepLines w:val="1"/>
        <w:widowControl w:val="1"/>
      </w:pPr>
      <w:r>
        <w:t>[ ] Mensualmente o más frecuente.</w:t>
      </w:r>
    </w:p>
    <w:p>
      <w:r>
        <w:rPr>
          <w:b/>
        </w:rPr>
        <w:t>P1.1.2</w:t>
      </w:r>
      <w:r>
        <w:t xml:space="preserve"> El órgano de gobierno dispone de </w:t>
      </w:r>
      <w:r>
        <w:rPr>
          <w:b/>
        </w:rPr>
        <w:t>informes de ciberseguridad</w:t>
      </w:r>
      <w:r>
        <w:t xml:space="preserve"> con objetivos, métricas y brechas claramente definidos.</w:t>
      </w:r>
    </w:p>
    <w:p>
      <w:pPr>
        <w:pStyle w:val="ListBullet"/>
        <w:keepLines w:val="1"/>
        <w:keepNext w:val="1"/>
        <w:widowControl w:val="1"/>
      </w:pPr>
      <w:r>
        <w:t xml:space="preserve">[ ] No dispone de informes formales.  </w:t>
      </w:r>
    </w:p>
    <w:p>
      <w:pPr>
        <w:pStyle w:val="ListBullet"/>
        <w:keepLines w:val="1"/>
        <w:keepNext w:val="1"/>
        <w:widowControl w:val="1"/>
      </w:pPr>
      <w:r>
        <w:t xml:space="preserve">[ ] Informes ad hoc y reactivos, sin estructura repetible.  </w:t>
      </w:r>
    </w:p>
    <w:p>
      <w:pPr>
        <w:pStyle w:val="ListBullet"/>
        <w:keepLines w:val="1"/>
        <w:keepNext w:val="1"/>
        <w:widowControl w:val="1"/>
      </w:pPr>
      <w:r>
        <w:t xml:space="preserve">[ ] Informes anuales o puntuales, con algunos indicadores básicos.  </w:t>
      </w:r>
    </w:p>
    <w:p>
      <w:pPr>
        <w:pStyle w:val="ListBullet"/>
        <w:keepLines w:val="1"/>
        <w:keepNext w:val="1"/>
        <w:widowControl w:val="1"/>
      </w:pPr>
      <w:r>
        <w:t xml:space="preserve">[ ] Informes periódicos (trimestrales) con objetivos y métricas definidos.  </w:t>
      </w:r>
    </w:p>
    <w:p>
      <w:pPr>
        <w:pStyle w:val="ListBullet"/>
        <w:keepLines w:val="1"/>
        <w:widowControl w:val="1"/>
      </w:pPr>
      <w:r>
        <w:t>[ ] Cuadro de mando integrado con objetivos, métricas y tendencias, revisado regularmente.</w:t>
      </w:r>
    </w:p>
    <w:p>
      <w:pPr>
        <w:pStyle w:val="Heading3"/>
        <w:keepNext/>
        <w:keepLines/>
      </w:pPr>
      <w:r>
        <w:t>1.2. Apetito y tolerancia al riesgo</w:t>
      </w:r>
    </w:p>
    <w:p>
      <w:r>
        <w:rPr>
          <w:b/>
        </w:rPr>
        <w:t>P1.2.1</w:t>
      </w:r>
      <w:r>
        <w:t xml:space="preserve"> ¿Cuenta su organización con una </w:t>
      </w:r>
      <w:r>
        <w:rPr>
          <w:b/>
        </w:rPr>
        <w:t>declaración formal de apetito y tolerancia al riesgo de ciberseguridad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 xml:space="preserve">[ ] No, las decisiones se basan en el “olfato” directivo.  </w:t>
      </w:r>
    </w:p>
    <w:p>
      <w:pPr>
        <w:pStyle w:val="ListBullet"/>
        <w:keepLines w:val="1"/>
        <w:keepNext w:val="1"/>
        <w:widowControl w:val="1"/>
      </w:pPr>
      <w:r>
        <w:t xml:space="preserve">[ ] Sí, pero no está documentada; todos “saben” cuál es (más o menos).  </w:t>
      </w:r>
    </w:p>
    <w:p>
      <w:pPr>
        <w:pStyle w:val="ListBullet"/>
        <w:keepLines w:val="1"/>
        <w:keepNext w:val="1"/>
        <w:widowControl w:val="1"/>
      </w:pPr>
      <w:r>
        <w:t xml:space="preserve">[ ] Sí, documentada; se consulta ocasionalmente.  </w:t>
      </w:r>
    </w:p>
    <w:p>
      <w:pPr>
        <w:pStyle w:val="ListBullet"/>
        <w:keepLines w:val="1"/>
        <w:keepNext w:val="1"/>
        <w:widowControl w:val="1"/>
      </w:pPr>
      <w:r>
        <w:t xml:space="preserve">[ ] Sí, documentada y usada de forma sistemática para priorizar inversiones.  </w:t>
      </w:r>
    </w:p>
    <w:p>
      <w:pPr>
        <w:pStyle w:val="ListBullet"/>
        <w:keepLines w:val="1"/>
        <w:widowControl w:val="1"/>
      </w:pPr>
      <w:r>
        <w:t>[ ] Sí, integrada en procesos de inversión, de aprobación de proyectos y de reporting.</w:t>
      </w:r>
    </w:p>
    <w:p>
      <w:r>
        <w:rPr>
          <w:b/>
        </w:rPr>
        <w:t>P1.2.2</w:t>
      </w:r>
      <w:r>
        <w:t xml:space="preserve"> El apetito al riesgo se </w:t>
      </w:r>
      <w:r>
        <w:rPr>
          <w:b/>
        </w:rPr>
        <w:t>revisa y actualiza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[ ] Nunca; se definió una vez y ahí quedó.  </w:t>
      </w:r>
    </w:p>
    <w:p>
      <w:pPr>
        <w:pStyle w:val="ListBullet"/>
        <w:keepLines w:val="1"/>
        <w:keepNext w:val="1"/>
        <w:widowControl w:val="1"/>
      </w:pPr>
      <w:r>
        <w:t xml:space="preserve">[ ] Solo tras incidentes significativos.  </w:t>
      </w:r>
    </w:p>
    <w:p>
      <w:pPr>
        <w:pStyle w:val="ListBullet"/>
        <w:keepLines w:val="1"/>
        <w:keepNext w:val="1"/>
        <w:widowControl w:val="1"/>
      </w:pPr>
      <w:r>
        <w:t xml:space="preserve">[ ] Al menos cada 3 años.  </w:t>
      </w:r>
    </w:p>
    <w:p>
      <w:pPr>
        <w:pStyle w:val="ListBullet"/>
        <w:keepLines w:val="1"/>
        <w:keepNext w:val="1"/>
        <w:widowControl w:val="1"/>
      </w:pPr>
      <w:r>
        <w:t xml:space="preserve">[ ] Al menos cada 2 años.  </w:t>
      </w:r>
    </w:p>
    <w:p>
      <w:pPr>
        <w:pStyle w:val="ListBullet"/>
        <w:keepLines w:val="1"/>
        <w:widowControl w:val="1"/>
      </w:pPr>
      <w:r>
        <w:t>[ ] Anualmente o con mayor frecuencia.</w:t>
      </w:r>
    </w:p>
    <w:p>
      <w:pPr>
        <w:pStyle w:val="Heading2"/>
        <w:keepNext/>
        <w:keepLines/>
      </w:pPr>
      <w:r>
        <w:rPr>
          <w:color w:val="0066CC"/>
        </w:rPr>
        <w:t>2. Gestión del riesgo de TI (APO12)</w:t>
      </w:r>
    </w:p>
    <w:p>
      <w:r>
        <w:t xml:space="preserve">Objetivo COBIT relacionado: </w:t>
      </w:r>
      <w:r>
        <w:rPr>
          <w:b/>
        </w:rPr>
        <w:t>APO12 – Managed Risk</w:t>
      </w:r>
      <w:r>
        <w:t>.[web:14][web:24]</w:t>
      </w:r>
    </w:p>
    <w:p>
      <w:pPr>
        <w:pStyle w:val="Heading3"/>
        <w:keepNext/>
        <w:keepLines/>
      </w:pPr>
      <w:r>
        <w:t>2.1. Proceso formal de gestión de riesgos</w:t>
      </w:r>
    </w:p>
    <w:p>
      <w:r>
        <w:rPr>
          <w:b/>
        </w:rPr>
        <w:t>P2.1.1</w:t>
      </w:r>
      <w:r>
        <w:t xml:space="preserve"> ¿Dispone su organización de un </w:t>
      </w:r>
      <w:r>
        <w:rPr>
          <w:b/>
        </w:rPr>
        <w:t>proceso formal de gestión de riesgos de TI/ciberseguridad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 xml:space="preserve">[ ] No existe ningún proceso definido.  </w:t>
      </w:r>
    </w:p>
    <w:p>
      <w:pPr>
        <w:pStyle w:val="ListBullet"/>
        <w:keepLines w:val="1"/>
        <w:keepNext w:val="1"/>
        <w:widowControl w:val="1"/>
      </w:pPr>
      <w:r>
        <w:t xml:space="preserve">[ ] Existen prácticas dispersas, sin proceso unificado.  </w:t>
      </w:r>
    </w:p>
    <w:p>
      <w:pPr>
        <w:pStyle w:val="ListBullet"/>
        <w:keepLines w:val="1"/>
        <w:keepNext w:val="1"/>
        <w:widowControl w:val="1"/>
      </w:pPr>
      <w:r>
        <w:t xml:space="preserve">[ ] Existe un proceso definido, pero se aplica de forma irregular.  </w:t>
      </w:r>
    </w:p>
    <w:p>
      <w:pPr>
        <w:pStyle w:val="ListBullet"/>
        <w:keepLines w:val="1"/>
        <w:keepNext w:val="1"/>
        <w:widowControl w:val="1"/>
      </w:pPr>
      <w:r>
        <w:t xml:space="preserve">[ ] Proceso definido y aplicado de forma sistemática en proyectos relevantes.  </w:t>
      </w:r>
    </w:p>
    <w:p>
      <w:pPr>
        <w:pStyle w:val="ListBullet"/>
        <w:keepLines w:val="1"/>
        <w:widowControl w:val="1"/>
      </w:pPr>
      <w:r>
        <w:t>[ ] Proceso plenamente integrado y alineado con riesgos corporativos.</w:t>
      </w:r>
    </w:p>
    <w:p>
      <w:r>
        <w:rPr>
          <w:b/>
        </w:rPr>
        <w:t>P2.1.2</w:t>
      </w:r>
      <w:r>
        <w:t xml:space="preserve"> En la práctica, el proceso de gestión de riesgos cubre:</w:t>
      </w:r>
    </w:p>
    <w:p>
      <w:pPr>
        <w:pStyle w:val="ListBullet"/>
        <w:keepLines w:val="1"/>
        <w:keepNext w:val="1"/>
        <w:widowControl w:val="1"/>
      </w:pPr>
      <w:r>
        <w:t xml:space="preserve">[ ] Solo riesgos técnicos de TI aislados.  </w:t>
      </w:r>
    </w:p>
    <w:p>
      <w:pPr>
        <w:pStyle w:val="ListBullet"/>
        <w:keepLines w:val="1"/>
        <w:keepNext w:val="1"/>
        <w:widowControl w:val="1"/>
      </w:pPr>
      <w:r>
        <w:t xml:space="preserve">[ ] Riesgos técnicos, con cierto enlace al riesgo operativo.  </w:t>
      </w:r>
    </w:p>
    <w:p>
      <w:pPr>
        <w:pStyle w:val="ListBullet"/>
        <w:keepLines w:val="1"/>
        <w:keepNext w:val="1"/>
        <w:widowControl w:val="1"/>
      </w:pPr>
      <w:r>
        <w:t xml:space="preserve">[ ] Riesgos de TI y su impacto en procesos de negocio clave.  </w:t>
      </w:r>
    </w:p>
    <w:p>
      <w:pPr>
        <w:pStyle w:val="ListBullet"/>
        <w:keepLines w:val="1"/>
        <w:keepNext w:val="1"/>
        <w:widowControl w:val="1"/>
      </w:pPr>
      <w:r>
        <w:t xml:space="preserve">[ ] Riesgos de TI, negocio, reputación, cumplimiento y terceros.  </w:t>
      </w:r>
    </w:p>
    <w:p>
      <w:pPr>
        <w:pStyle w:val="ListBullet"/>
        <w:keepLines w:val="1"/>
        <w:widowControl w:val="1"/>
      </w:pPr>
      <w:r>
        <w:t>[ ] Cobertura integral, alineada con el mapa de riesgos corporativo.</w:t>
      </w:r>
    </w:p>
    <w:p>
      <w:pPr>
        <w:pStyle w:val="Heading3"/>
        <w:keepNext/>
        <w:keepLines/>
      </w:pPr>
      <w:r>
        <w:t>2.2. Cobertura de activos y frecuencia de análisis</w:t>
      </w:r>
    </w:p>
    <w:p>
      <w:r>
        <w:rPr>
          <w:b/>
        </w:rPr>
        <w:t>P2.2.1</w:t>
      </w:r>
      <w:r>
        <w:t xml:space="preserve"> Porcentaje aproximado de </w:t>
      </w:r>
      <w:r>
        <w:rPr>
          <w:b/>
        </w:rPr>
        <w:t>activos críticos</w:t>
      </w:r>
      <w:r>
        <w:t xml:space="preserve"> (sistemas, aplicaciones, datos) con análisis de riesgos completado o actualizado en los últimos 12 meses.</w:t>
      </w:r>
    </w:p>
    <w:p>
      <w:pPr>
        <w:pStyle w:val="ListBullet"/>
        <w:keepLines w:val="1"/>
        <w:keepNext w:val="1"/>
        <w:widowControl w:val="1"/>
      </w:pPr>
      <w:r>
        <w:t xml:space="preserve">[ ] 0 – 20 %  </w:t>
      </w:r>
    </w:p>
    <w:p>
      <w:pPr>
        <w:pStyle w:val="ListBullet"/>
        <w:keepLines w:val="1"/>
        <w:keepNext w:val="1"/>
        <w:widowControl w:val="1"/>
      </w:pPr>
      <w:r>
        <w:t xml:space="preserve">[ ] 21 – 40 %  </w:t>
      </w:r>
    </w:p>
    <w:p>
      <w:pPr>
        <w:pStyle w:val="ListBullet"/>
        <w:keepLines w:val="1"/>
        <w:keepNext w:val="1"/>
        <w:widowControl w:val="1"/>
      </w:pPr>
      <w:r>
        <w:t xml:space="preserve">[ ] 41 – 60 %  </w:t>
      </w:r>
    </w:p>
    <w:p>
      <w:pPr>
        <w:pStyle w:val="ListBullet"/>
        <w:keepLines w:val="1"/>
        <w:keepNext w:val="1"/>
        <w:widowControl w:val="1"/>
      </w:pPr>
      <w:r>
        <w:t xml:space="preserve">[ ] 61 – 80 %  </w:t>
      </w:r>
    </w:p>
    <w:p>
      <w:pPr>
        <w:pStyle w:val="ListBullet"/>
        <w:keepLines w:val="1"/>
        <w:widowControl w:val="1"/>
      </w:pPr>
      <w:r>
        <w:t>[ ] 81 – 100 %</w:t>
      </w:r>
    </w:p>
    <w:p>
      <w:r>
        <w:rPr>
          <w:b/>
        </w:rPr>
        <w:t>P2.2.2</w:t>
      </w:r>
      <w:r>
        <w:t xml:space="preserve"> Frecuencia típica de revisión de los análisis de riesgos de sistemas críticos:</w:t>
      </w:r>
    </w:p>
    <w:p>
      <w:pPr>
        <w:pStyle w:val="ListBullet"/>
        <w:keepLines w:val="1"/>
        <w:keepNext w:val="1"/>
        <w:widowControl w:val="1"/>
      </w:pPr>
      <w:r>
        <w:t xml:space="preserve">[ ] Solo tras incidentes o auditorías.  </w:t>
      </w:r>
    </w:p>
    <w:p>
      <w:pPr>
        <w:pStyle w:val="ListBullet"/>
        <w:keepLines w:val="1"/>
        <w:keepNext w:val="1"/>
        <w:widowControl w:val="1"/>
      </w:pPr>
      <w:r>
        <w:t xml:space="preserve">[ ] Cada 3 años o más.  </w:t>
      </w:r>
    </w:p>
    <w:p>
      <w:pPr>
        <w:pStyle w:val="ListBullet"/>
        <w:keepLines w:val="1"/>
        <w:keepNext w:val="1"/>
        <w:widowControl w:val="1"/>
      </w:pPr>
      <w:r>
        <w:t xml:space="preserve">[ ] Cada 2 años.  </w:t>
      </w:r>
    </w:p>
    <w:p>
      <w:pPr>
        <w:pStyle w:val="ListBullet"/>
        <w:keepLines w:val="1"/>
        <w:keepNext w:val="1"/>
        <w:widowControl w:val="1"/>
      </w:pPr>
      <w:r>
        <w:t xml:space="preserve">[ ] Anual.  </w:t>
      </w:r>
    </w:p>
    <w:p>
      <w:pPr>
        <w:pStyle w:val="ListBullet"/>
        <w:keepLines w:val="1"/>
        <w:widowControl w:val="1"/>
      </w:pPr>
      <w:r>
        <w:t>[ ] Semestral o más frecuente.</w:t>
      </w:r>
    </w:p>
    <w:p>
      <w:pPr>
        <w:pStyle w:val="Heading2"/>
        <w:keepNext/>
        <w:keepLines/>
      </w:pPr>
      <w:r>
        <w:rPr>
          <w:color w:val="0066CC"/>
        </w:rPr>
        <w:t>3. Seguridad gestionada (APO13 – SGSI)</w:t>
      </w:r>
    </w:p>
    <w:p>
      <w:r>
        <w:t xml:space="preserve">Objetivo COBIT: </w:t>
      </w:r>
      <w:r>
        <w:rPr>
          <w:b/>
        </w:rPr>
        <w:t>APO13 – Managed Security</w:t>
      </w:r>
      <w:r>
        <w:t>.[web:24][web:35]</w:t>
      </w:r>
    </w:p>
    <w:p>
      <w:pPr>
        <w:pStyle w:val="Heading3"/>
        <w:keepNext/>
        <w:keepLines/>
      </w:pPr>
      <w:r>
        <w:t>3.1. Existencia y alcance del SGSI</w:t>
      </w:r>
    </w:p>
    <w:p>
      <w:r>
        <w:rPr>
          <w:b/>
        </w:rPr>
        <w:t>P3.1.1</w:t>
      </w:r>
      <w:r>
        <w:t xml:space="preserve"> ¿Cuenta su organización con un </w:t>
      </w:r>
      <w:r>
        <w:rPr>
          <w:b/>
        </w:rPr>
        <w:t>Sistema de Gestión de Seguridad de la Información (SGSI)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 xml:space="preserve">[ ] No existe SGSI; hay controles dispersos.  </w:t>
      </w:r>
    </w:p>
    <w:p>
      <w:pPr>
        <w:pStyle w:val="ListBullet"/>
        <w:keepLines w:val="1"/>
        <w:keepNext w:val="1"/>
        <w:widowControl w:val="1"/>
      </w:pPr>
      <w:r>
        <w:t xml:space="preserve">[ ] Existe un conjunto de políticas sin un SGSI formal.  </w:t>
      </w:r>
    </w:p>
    <w:p>
      <w:pPr>
        <w:pStyle w:val="ListBullet"/>
        <w:keepLines w:val="1"/>
        <w:keepNext w:val="1"/>
        <w:widowControl w:val="1"/>
      </w:pPr>
      <w:r>
        <w:t xml:space="preserve">[ ] SGSI definido y parcialmente implantado (algunos procesos clave).  </w:t>
      </w:r>
    </w:p>
    <w:p>
      <w:pPr>
        <w:pStyle w:val="ListBullet"/>
        <w:keepLines w:val="1"/>
        <w:keepNext w:val="1"/>
        <w:widowControl w:val="1"/>
      </w:pPr>
      <w:r>
        <w:t xml:space="preserve">[ ] SGSI implantado y operativo a nivel organizativo principal.  </w:t>
      </w:r>
    </w:p>
    <w:p>
      <w:pPr>
        <w:pStyle w:val="ListBullet"/>
        <w:keepLines w:val="1"/>
        <w:widowControl w:val="1"/>
      </w:pPr>
      <w:r>
        <w:t>[ ] SGSI consolidado, integrado con gestión de riesgos, continuidad y cumplimiento.</w:t>
      </w:r>
    </w:p>
    <w:p>
      <w:r>
        <w:rPr>
          <w:b/>
        </w:rPr>
        <w:t>P3.1.2</w:t>
      </w:r>
      <w:r>
        <w:t xml:space="preserve"> Respecto a </w:t>
      </w:r>
      <w:r>
        <w:rPr>
          <w:b/>
        </w:rPr>
        <w:t>ISO 27001 u otros estándares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[ ] No hay alineamiento explícito.  </w:t>
      </w:r>
    </w:p>
    <w:p>
      <w:pPr>
        <w:pStyle w:val="ListBullet"/>
        <w:keepLines w:val="1"/>
        <w:keepNext w:val="1"/>
        <w:widowControl w:val="1"/>
      </w:pPr>
      <w:r>
        <w:t xml:space="preserve">[ ] Referencia informal a ISO 27001 sin certificación.  </w:t>
      </w:r>
    </w:p>
    <w:p>
      <w:pPr>
        <w:pStyle w:val="ListBullet"/>
        <w:keepLines w:val="1"/>
        <w:keepNext w:val="1"/>
        <w:widowControl w:val="1"/>
      </w:pPr>
      <w:r>
        <w:t xml:space="preserve">[ ] Alineamiento formal, sin certificación.  </w:t>
      </w:r>
    </w:p>
    <w:p>
      <w:pPr>
        <w:pStyle w:val="ListBullet"/>
        <w:keepLines w:val="1"/>
        <w:keepNext w:val="1"/>
        <w:widowControl w:val="1"/>
      </w:pPr>
      <w:r>
        <w:t xml:space="preserve">[ ] Certificación ISO 27001 parcial (algunos procesos/ubicaciones).  </w:t>
      </w:r>
    </w:p>
    <w:p>
      <w:pPr>
        <w:pStyle w:val="ListBullet"/>
        <w:keepLines w:val="1"/>
        <w:widowControl w:val="1"/>
      </w:pPr>
      <w:r>
        <w:t>[ ] Certificación ISO 27001 amplia (mayor parte de la organización).</w:t>
      </w:r>
    </w:p>
    <w:p>
      <w:pPr>
        <w:pStyle w:val="Heading3"/>
        <w:keepNext/>
        <w:keepLines/>
      </w:pPr>
      <w:r>
        <w:t>3.2. Función de seguridad y recursos</w:t>
      </w:r>
    </w:p>
    <w:p>
      <w:r>
        <w:rPr>
          <w:b/>
        </w:rPr>
        <w:t>P3.2.1</w:t>
      </w:r>
      <w:r>
        <w:t xml:space="preserve"> ¿Dispone la organización de una </w:t>
      </w:r>
      <w:r>
        <w:rPr>
          <w:b/>
        </w:rPr>
        <w:t>función de seguridad definida</w:t>
      </w:r>
      <w:r>
        <w:t xml:space="preserve"> (CISO o equivalente)?</w:t>
      </w:r>
    </w:p>
    <w:p>
      <w:pPr>
        <w:pStyle w:val="ListBullet"/>
        <w:keepLines w:val="1"/>
        <w:keepNext w:val="1"/>
        <w:widowControl w:val="1"/>
      </w:pPr>
      <w:r>
        <w:t xml:space="preserve">[ ] No existe; seguridad es “cosa de TI”.  </w:t>
      </w:r>
    </w:p>
    <w:p>
      <w:pPr>
        <w:pStyle w:val="ListBullet"/>
        <w:keepLines w:val="1"/>
        <w:keepNext w:val="1"/>
        <w:widowControl w:val="1"/>
      </w:pPr>
      <w:r>
        <w:t xml:space="preserve">[ ] Un responsable técnico de facto, sin rol formal.  </w:t>
      </w:r>
    </w:p>
    <w:p>
      <w:pPr>
        <w:pStyle w:val="ListBullet"/>
        <w:keepLines w:val="1"/>
        <w:keepNext w:val="1"/>
        <w:widowControl w:val="1"/>
      </w:pPr>
      <w:r>
        <w:t xml:space="preserve">[ ] Rol formal de seguridad dependiente del CIO.  </w:t>
      </w:r>
    </w:p>
    <w:p>
      <w:pPr>
        <w:pStyle w:val="ListBullet"/>
        <w:keepLines w:val="1"/>
        <w:keepNext w:val="1"/>
        <w:widowControl w:val="1"/>
      </w:pPr>
      <w:r>
        <w:t xml:space="preserve">[ ] Rol formal de seguridad con reporte funcional a alta dirección.  </w:t>
      </w:r>
    </w:p>
    <w:p>
      <w:pPr>
        <w:pStyle w:val="ListBullet"/>
        <w:keepLines w:val="1"/>
        <w:widowControl w:val="1"/>
      </w:pPr>
      <w:r>
        <w:t>[ ] Función de seguridad con estructura propia y presencia en comités de riesgo.</w:t>
      </w:r>
    </w:p>
    <w:p>
      <w:r>
        <w:rPr>
          <w:b/>
        </w:rPr>
        <w:t>P3.2.2</w:t>
      </w:r>
      <w:r>
        <w:t xml:space="preserve"> Porcentaje aproximado del </w:t>
      </w:r>
      <w:r>
        <w:rPr>
          <w:b/>
        </w:rPr>
        <w:t>presupuesto de TI</w:t>
      </w:r>
      <w:r>
        <w:t xml:space="preserve"> dedicado a seguridad y gobierno de la información:</w:t>
      </w:r>
    </w:p>
    <w:p>
      <w:pPr>
        <w:pStyle w:val="ListBullet"/>
        <w:keepLines w:val="1"/>
        <w:keepNext w:val="1"/>
        <w:widowControl w:val="1"/>
      </w:pPr>
      <w:r>
        <w:t xml:space="preserve">[ ] &lt; 3 % (seguridad como acto de fe).  </w:t>
      </w:r>
    </w:p>
    <w:p>
      <w:pPr>
        <w:pStyle w:val="ListBullet"/>
        <w:keepLines w:val="1"/>
        <w:keepNext w:val="1"/>
        <w:widowControl w:val="1"/>
      </w:pPr>
      <w:r>
        <w:t xml:space="preserve">[ ] 3 – 5 %.  </w:t>
      </w:r>
    </w:p>
    <w:p>
      <w:pPr>
        <w:pStyle w:val="ListBullet"/>
        <w:keepLines w:val="1"/>
        <w:keepNext w:val="1"/>
        <w:widowControl w:val="1"/>
      </w:pPr>
      <w:r>
        <w:t xml:space="preserve">[ ] 6 – 8 %.  </w:t>
      </w:r>
    </w:p>
    <w:p>
      <w:pPr>
        <w:pStyle w:val="ListBullet"/>
        <w:keepLines w:val="1"/>
        <w:keepNext w:val="1"/>
        <w:widowControl w:val="1"/>
      </w:pPr>
      <w:r>
        <w:t xml:space="preserve">[ ] 9 – 12 %.  </w:t>
      </w:r>
    </w:p>
    <w:p>
      <w:pPr>
        <w:pStyle w:val="ListBullet"/>
        <w:keepLines w:val="1"/>
        <w:widowControl w:val="1"/>
      </w:pPr>
      <w:r>
        <w:t>[ ] &gt; 12 % (seguridad como inversión estratégica).</w:t>
      </w:r>
    </w:p>
    <w:p>
      <w:pPr>
        <w:pStyle w:val="Heading2"/>
        <w:keepNext/>
        <w:keepLines/>
      </w:pPr>
      <w:r>
        <w:rPr>
          <w:color w:val="0066CC"/>
        </w:rPr>
        <w:t>4. Gestión de cambios de TI (BAI06)</w:t>
      </w:r>
    </w:p>
    <w:p>
      <w:r>
        <w:t xml:space="preserve">Objetivo COBIT: </w:t>
      </w:r>
      <w:r>
        <w:rPr>
          <w:b/>
        </w:rPr>
        <w:t>BAI06 – Managed IT Changes</w:t>
      </w:r>
      <w:r>
        <w:t>.[web:21][web:24]</w:t>
      </w:r>
    </w:p>
    <w:p>
      <w:pPr>
        <w:pStyle w:val="Heading3"/>
        <w:keepNext/>
        <w:keepLines/>
      </w:pPr>
      <w:r>
        <w:t>4.1. Evaluación de seguridad en cambios</w:t>
      </w:r>
    </w:p>
    <w:p>
      <w:r>
        <w:rPr>
          <w:b/>
        </w:rPr>
        <w:t>P4.1.1</w:t>
      </w:r>
      <w:r>
        <w:t xml:space="preserve"> Porcentaje aproximado de </w:t>
      </w:r>
      <w:r>
        <w:rPr>
          <w:b/>
        </w:rPr>
        <w:t>cambios relevantes en sistemas críticos</w:t>
      </w:r>
      <w:r>
        <w:t xml:space="preserve"> que incluyen evaluación formal de impacto en ciberseguridad antes de su aprobación:</w:t>
      </w:r>
    </w:p>
    <w:p>
      <w:pPr>
        <w:pStyle w:val="ListBullet"/>
        <w:keepLines w:val="1"/>
        <w:keepNext w:val="1"/>
        <w:widowControl w:val="1"/>
      </w:pPr>
      <w:r>
        <w:t xml:space="preserve">[ ] 0 – 20 % (como mucho, rezamos).  </w:t>
      </w:r>
    </w:p>
    <w:p>
      <w:pPr>
        <w:pStyle w:val="ListBullet"/>
        <w:keepLines w:val="1"/>
        <w:keepNext w:val="1"/>
        <w:widowControl w:val="1"/>
      </w:pPr>
      <w:r>
        <w:t xml:space="preserve">[ ] 21 – 40 %.  </w:t>
      </w:r>
    </w:p>
    <w:p>
      <w:pPr>
        <w:pStyle w:val="ListBullet"/>
        <w:keepLines w:val="1"/>
        <w:keepNext w:val="1"/>
        <w:widowControl w:val="1"/>
      </w:pPr>
      <w:r>
        <w:t xml:space="preserve">[ ] 41 – 60 %.  </w:t>
      </w:r>
    </w:p>
    <w:p>
      <w:pPr>
        <w:pStyle w:val="ListBullet"/>
        <w:keepLines w:val="1"/>
        <w:keepNext w:val="1"/>
        <w:widowControl w:val="1"/>
      </w:pPr>
      <w:r>
        <w:t xml:space="preserve">[ ] 61 – 80 %.  </w:t>
      </w:r>
    </w:p>
    <w:p>
      <w:pPr>
        <w:pStyle w:val="ListBullet"/>
        <w:keepLines w:val="1"/>
        <w:widowControl w:val="1"/>
      </w:pPr>
      <w:r>
        <w:t>[ ] 81 – 100 % (la temeridad no es estrategia).</w:t>
      </w:r>
    </w:p>
    <w:p>
      <w:r>
        <w:rPr>
          <w:b/>
        </w:rPr>
        <w:t>P4.1.2</w:t>
      </w:r>
      <w:r>
        <w:t xml:space="preserve"> ¿Se realizan </w:t>
      </w:r>
      <w:r>
        <w:rPr>
          <w:b/>
        </w:rPr>
        <w:t>pruebas de seguridad</w:t>
      </w:r>
      <w:r>
        <w:t xml:space="preserve"> (por ejemplo, pruebas de vulnerabilidades, revisiones de configuración) asociadas al proceso de cambios?</w:t>
      </w:r>
    </w:p>
    <w:p>
      <w:pPr>
        <w:pStyle w:val="ListBullet"/>
        <w:keepLines w:val="1"/>
        <w:keepNext w:val="1"/>
        <w:widowControl w:val="1"/>
      </w:pPr>
      <w:r>
        <w:t xml:space="preserve">[ ] No, o solo en casos excepcionales.  </w:t>
      </w:r>
    </w:p>
    <w:p>
      <w:pPr>
        <w:pStyle w:val="ListBullet"/>
        <w:keepLines w:val="1"/>
        <w:keepNext w:val="1"/>
        <w:widowControl w:val="1"/>
      </w:pPr>
      <w:r>
        <w:t xml:space="preserve">[ ] Ocasionalmente, para cambios mayores.  </w:t>
      </w:r>
    </w:p>
    <w:p>
      <w:pPr>
        <w:pStyle w:val="ListBullet"/>
        <w:keepLines w:val="1"/>
        <w:keepNext w:val="1"/>
        <w:widowControl w:val="1"/>
      </w:pPr>
      <w:r>
        <w:t xml:space="preserve">[ ] De forma habitual en cambios críticos.  </w:t>
      </w:r>
    </w:p>
    <w:p>
      <w:pPr>
        <w:pStyle w:val="ListBullet"/>
        <w:keepLines w:val="1"/>
        <w:keepNext w:val="1"/>
        <w:widowControl w:val="1"/>
      </w:pPr>
      <w:r>
        <w:t xml:space="preserve">[ ] Integradas en el proceso estándar de cambios.  </w:t>
      </w:r>
    </w:p>
    <w:p>
      <w:pPr>
        <w:pStyle w:val="ListBullet"/>
        <w:keepLines w:val="1"/>
        <w:widowControl w:val="1"/>
      </w:pPr>
      <w:r>
        <w:t>[ ] Automatizadas como parte del pipeline de DevSecOps.</w:t>
      </w:r>
    </w:p>
    <w:p>
      <w:pPr>
        <w:pStyle w:val="Heading3"/>
        <w:keepNext/>
        <w:keepLines/>
      </w:pPr>
      <w:r>
        <w:t>4.2. Impacto de cambios en incidentes</w:t>
      </w:r>
    </w:p>
    <w:p>
      <w:r>
        <w:rPr>
          <w:b/>
        </w:rPr>
        <w:t>P4.2.1</w:t>
      </w:r>
      <w:r>
        <w:t xml:space="preserve"> En el último año, el porcentaje de incidentes de seguridad atribuibles a cambios mal gestionados ha sido:</w:t>
      </w:r>
    </w:p>
    <w:p>
      <w:pPr>
        <w:pStyle w:val="ListBullet"/>
        <w:keepLines w:val="1"/>
        <w:keepNext w:val="1"/>
        <w:widowControl w:val="1"/>
      </w:pPr>
      <w:r>
        <w:t xml:space="preserve">[ ] Desconocido (no se analiza la causa raíz).  </w:t>
      </w:r>
    </w:p>
    <w:p>
      <w:pPr>
        <w:pStyle w:val="ListBullet"/>
        <w:keepLines w:val="1"/>
        <w:keepNext w:val="1"/>
        <w:widowControl w:val="1"/>
      </w:pPr>
      <w:r>
        <w:t xml:space="preserve">[ ] Menos del 10 %.  </w:t>
      </w:r>
    </w:p>
    <w:p>
      <w:pPr>
        <w:pStyle w:val="ListBullet"/>
        <w:keepLines w:val="1"/>
        <w:keepNext w:val="1"/>
        <w:widowControl w:val="1"/>
      </w:pPr>
      <w:r>
        <w:t xml:space="preserve">[ ] 10 – 25 %.  </w:t>
      </w:r>
    </w:p>
    <w:p>
      <w:pPr>
        <w:pStyle w:val="ListBullet"/>
        <w:keepLines w:val="1"/>
        <w:keepNext w:val="1"/>
        <w:widowControl w:val="1"/>
      </w:pPr>
      <w:r>
        <w:t xml:space="preserve">[ ] 26 – 50 %.  </w:t>
      </w:r>
    </w:p>
    <w:p>
      <w:pPr>
        <w:pStyle w:val="ListBullet"/>
        <w:keepLines w:val="1"/>
        <w:widowControl w:val="1"/>
      </w:pPr>
      <w:r>
        <w:t>[ ] Más del 50 % (los cambios mandan).</w:t>
      </w:r>
    </w:p>
    <w:p>
      <w:pPr>
        <w:pStyle w:val="Heading2"/>
        <w:keepNext/>
        <w:keepLines/>
      </w:pPr>
      <w:r>
        <w:rPr>
          <w:color w:val="0066CC"/>
        </w:rPr>
        <w:t>5. Servicios de seguridad (DSS05)</w:t>
      </w:r>
    </w:p>
    <w:p>
      <w:r>
        <w:t xml:space="preserve">Objetivo COBIT: </w:t>
      </w:r>
      <w:r>
        <w:rPr>
          <w:b/>
        </w:rPr>
        <w:t>DSS05 – Managed Security Services</w:t>
      </w:r>
      <w:r>
        <w:t>.[web:17][web:21]</w:t>
      </w:r>
    </w:p>
    <w:p>
      <w:pPr>
        <w:pStyle w:val="Heading3"/>
        <w:keepNext/>
        <w:keepLines/>
      </w:pPr>
      <w:r>
        <w:t>5.1. Monitorización y detección (SOC)</w:t>
      </w:r>
    </w:p>
    <w:p>
      <w:r>
        <w:rPr>
          <w:b/>
        </w:rPr>
        <w:t>P5.1.1</w:t>
      </w:r>
      <w:r>
        <w:t xml:space="preserve"> ¿Dispone su organización de </w:t>
      </w:r>
      <w:r>
        <w:rPr>
          <w:b/>
        </w:rPr>
        <w:t>capacidades de monitorización continua de seguridad</w:t>
      </w:r>
      <w:r>
        <w:t xml:space="preserve"> (SOC propio o externo)?</w:t>
      </w:r>
    </w:p>
    <w:p>
      <w:pPr>
        <w:pStyle w:val="ListBullet"/>
        <w:keepLines w:val="1"/>
        <w:keepNext w:val="1"/>
        <w:widowControl w:val="1"/>
      </w:pPr>
      <w:r>
        <w:t xml:space="preserve">[ ] No; confiamos en la providencia y en los logs sin mirar.  </w:t>
      </w:r>
    </w:p>
    <w:p>
      <w:pPr>
        <w:pStyle w:val="ListBullet"/>
        <w:keepLines w:val="1"/>
        <w:keepNext w:val="1"/>
        <w:widowControl w:val="1"/>
      </w:pPr>
      <w:r>
        <w:t xml:space="preserve">[ ] Solo alertas básicas de dispositivos (firewalls, antivirus).  </w:t>
      </w:r>
    </w:p>
    <w:p>
      <w:pPr>
        <w:pStyle w:val="ListBullet"/>
        <w:keepLines w:val="1"/>
        <w:keepNext w:val="1"/>
        <w:widowControl w:val="1"/>
      </w:pPr>
      <w:r>
        <w:t xml:space="preserve">[ ] SOC externo compartido o servicio MSSP básico.  </w:t>
      </w:r>
    </w:p>
    <w:p>
      <w:pPr>
        <w:pStyle w:val="ListBullet"/>
        <w:keepLines w:val="1"/>
        <w:keepNext w:val="1"/>
        <w:widowControl w:val="1"/>
      </w:pPr>
      <w:r>
        <w:t xml:space="preserve">[ ] SOC interno o híbrido con correlación y casos de uso.  </w:t>
      </w:r>
    </w:p>
    <w:p>
      <w:pPr>
        <w:pStyle w:val="ListBullet"/>
        <w:keepLines w:val="1"/>
        <w:widowControl w:val="1"/>
      </w:pPr>
      <w:r>
        <w:t>[ ] SOC maduro con detección avanzada, inteligencia de amenazas y automatización.</w:t>
      </w:r>
    </w:p>
    <w:p>
      <w:r>
        <w:rPr>
          <w:b/>
        </w:rPr>
        <w:t>P5.1.2</w:t>
      </w:r>
      <w:r>
        <w:t xml:space="preserve"> Tiempo medio de detección (MTTD) de incidentes significativos:</w:t>
      </w:r>
    </w:p>
    <w:p>
      <w:pPr>
        <w:pStyle w:val="ListBullet"/>
        <w:keepLines w:val="1"/>
        <w:keepNext w:val="1"/>
        <w:widowControl w:val="1"/>
      </w:pPr>
      <w:r>
        <w:t xml:space="preserve">[ ] No se mide / desconocido.  </w:t>
      </w:r>
    </w:p>
    <w:p>
      <w:pPr>
        <w:pStyle w:val="ListBullet"/>
        <w:keepLines w:val="1"/>
        <w:keepNext w:val="1"/>
        <w:widowControl w:val="1"/>
      </w:pPr>
      <w:r>
        <w:t xml:space="preserve">[ ] Más de 1 mes.  </w:t>
      </w:r>
    </w:p>
    <w:p>
      <w:pPr>
        <w:pStyle w:val="ListBullet"/>
        <w:keepLines w:val="1"/>
        <w:keepNext w:val="1"/>
        <w:widowControl w:val="1"/>
      </w:pPr>
      <w:r>
        <w:t xml:space="preserve">[ ] Entre 1 semana y 1 mes.  </w:t>
      </w:r>
    </w:p>
    <w:p>
      <w:pPr>
        <w:pStyle w:val="ListBullet"/>
        <w:keepLines w:val="1"/>
        <w:keepNext w:val="1"/>
        <w:widowControl w:val="1"/>
      </w:pPr>
      <w:r>
        <w:t xml:space="preserve">[ ] Entre 24 horas y 1 semana.  </w:t>
      </w:r>
    </w:p>
    <w:p>
      <w:pPr>
        <w:pStyle w:val="ListBullet"/>
        <w:keepLines w:val="1"/>
        <w:widowControl w:val="1"/>
      </w:pPr>
      <w:r>
        <w:t>[ ] Menos de 24 horas (en la medida de lo humanamente posible).</w:t>
      </w:r>
    </w:p>
    <w:p>
      <w:pPr>
        <w:pStyle w:val="Heading3"/>
        <w:keepNext/>
        <w:keepLines/>
      </w:pPr>
      <w:r>
        <w:t>5.2. Respuesta y remediación</w:t>
      </w:r>
    </w:p>
    <w:p>
      <w:r>
        <w:rPr>
          <w:b/>
        </w:rPr>
        <w:t>P5.2.1</w:t>
      </w:r>
      <w:r>
        <w:t xml:space="preserve"> Tiempo medio de respuesta (MTTR) para contener incidentes significativos:</w:t>
      </w:r>
    </w:p>
    <w:p>
      <w:pPr>
        <w:pStyle w:val="ListBullet"/>
        <w:keepLines w:val="1"/>
        <w:keepNext w:val="1"/>
        <w:widowControl w:val="1"/>
      </w:pPr>
      <w:r>
        <w:t xml:space="preserve">[ ] No se mide / desconocido.  </w:t>
      </w:r>
    </w:p>
    <w:p>
      <w:pPr>
        <w:pStyle w:val="ListBullet"/>
        <w:keepLines w:val="1"/>
        <w:keepNext w:val="1"/>
        <w:widowControl w:val="1"/>
      </w:pPr>
      <w:r>
        <w:t xml:space="preserve">[ ] Más de 1 semana.  </w:t>
      </w:r>
    </w:p>
    <w:p>
      <w:pPr>
        <w:pStyle w:val="ListBullet"/>
        <w:keepLines w:val="1"/>
        <w:keepNext w:val="1"/>
        <w:widowControl w:val="1"/>
      </w:pPr>
      <w:r>
        <w:t xml:space="preserve">[ ] Entre 2 y 7 días.  </w:t>
      </w:r>
    </w:p>
    <w:p>
      <w:pPr>
        <w:pStyle w:val="ListBullet"/>
        <w:keepLines w:val="1"/>
        <w:keepNext w:val="1"/>
        <w:widowControl w:val="1"/>
      </w:pPr>
      <w:r>
        <w:t xml:space="preserve">[ ] Entre 4 y 48 horas.  </w:t>
      </w:r>
    </w:p>
    <w:p>
      <w:pPr>
        <w:pStyle w:val="ListBullet"/>
        <w:keepLines w:val="1"/>
        <w:widowControl w:val="1"/>
      </w:pPr>
      <w:r>
        <w:t>[ ] Menos de 4 horas.</w:t>
      </w:r>
    </w:p>
    <w:p>
      <w:r>
        <w:rPr>
          <w:b/>
        </w:rPr>
        <w:t>P5.2.2</w:t>
      </w:r>
      <w:r>
        <w:t xml:space="preserve"> Porcentaje de vulnerabilidades críticas resueltas dentro del plazo establecido por la política interna:</w:t>
      </w:r>
    </w:p>
    <w:p>
      <w:pPr>
        <w:pStyle w:val="ListBullet"/>
        <w:keepLines w:val="1"/>
        <w:keepNext w:val="1"/>
        <w:widowControl w:val="1"/>
      </w:pPr>
      <w:r>
        <w:t xml:space="preserve">[ ] 0 – 25 %.  </w:t>
      </w:r>
    </w:p>
    <w:p>
      <w:pPr>
        <w:pStyle w:val="ListBullet"/>
        <w:keepLines w:val="1"/>
        <w:keepNext w:val="1"/>
        <w:widowControl w:val="1"/>
      </w:pPr>
      <w:r>
        <w:t xml:space="preserve">[ ] 26 – 50 %.  </w:t>
      </w:r>
    </w:p>
    <w:p>
      <w:pPr>
        <w:pStyle w:val="ListBullet"/>
        <w:keepLines w:val="1"/>
        <w:keepNext w:val="1"/>
        <w:widowControl w:val="1"/>
      </w:pPr>
      <w:r>
        <w:t xml:space="preserve">[ ] 51 – 75 %.  </w:t>
      </w:r>
    </w:p>
    <w:p>
      <w:pPr>
        <w:pStyle w:val="ListBullet"/>
        <w:keepLines w:val="1"/>
        <w:keepNext w:val="1"/>
        <w:widowControl w:val="1"/>
      </w:pPr>
      <w:r>
        <w:t xml:space="preserve">[ ] 76 – 90 %.  </w:t>
      </w:r>
    </w:p>
    <w:p>
      <w:pPr>
        <w:pStyle w:val="ListBullet"/>
        <w:keepLines w:val="1"/>
        <w:widowControl w:val="1"/>
      </w:pPr>
      <w:r>
        <w:t>[ ] 91 – 100 % (la utopía hecha proceso).</w:t>
      </w:r>
    </w:p>
    <w:p>
      <w:pPr>
        <w:pStyle w:val="Heading2"/>
        <w:keepNext/>
        <w:keepLines/>
      </w:pPr>
      <w:r>
        <w:rPr>
          <w:color w:val="0066CC"/>
        </w:rPr>
        <w:t>6. Continuidad del servicio (DSS04)</w:t>
      </w:r>
    </w:p>
    <w:p>
      <w:r>
        <w:t xml:space="preserve">Objetivo COBIT: </w:t>
      </w:r>
      <w:r>
        <w:rPr>
          <w:b/>
        </w:rPr>
        <w:t>DSS04 – Managed Continuity</w:t>
      </w:r>
      <w:r>
        <w:t>.[web:27]</w:t>
      </w:r>
    </w:p>
    <w:p>
      <w:pPr>
        <w:pStyle w:val="Heading3"/>
        <w:keepNext/>
        <w:keepLines/>
      </w:pPr>
      <w:r>
        <w:t>6.1. Planes y simulacros de continuidad</w:t>
      </w:r>
    </w:p>
    <w:p>
      <w:r>
        <w:rPr>
          <w:b/>
        </w:rPr>
        <w:t>P6.1.1</w:t>
      </w:r>
      <w:r>
        <w:t xml:space="preserve"> ¿Dispone la organización de </w:t>
      </w:r>
      <w:r>
        <w:rPr>
          <w:b/>
        </w:rPr>
        <w:t>Plan de Continuidad de Negocio (BCP)</w:t>
      </w:r>
      <w:r>
        <w:t xml:space="preserve"> y </w:t>
      </w:r>
      <w:r>
        <w:rPr>
          <w:b/>
        </w:rPr>
        <w:t>Plan de Recuperación ante Desastres (DRP)</w:t>
      </w:r>
      <w:r>
        <w:t xml:space="preserve"> que incluyan escenarios de ciberincidentes?</w:t>
      </w:r>
    </w:p>
    <w:p>
      <w:pPr>
        <w:pStyle w:val="ListBullet"/>
        <w:keepLines w:val="1"/>
        <w:keepNext w:val="1"/>
        <w:widowControl w:val="1"/>
      </w:pPr>
      <w:r>
        <w:t xml:space="preserve">[ ] No se dispone de BCP/DRP.  </w:t>
      </w:r>
    </w:p>
    <w:p>
      <w:pPr>
        <w:pStyle w:val="ListBullet"/>
        <w:keepLines w:val="1"/>
        <w:keepNext w:val="1"/>
        <w:widowControl w:val="1"/>
      </w:pPr>
      <w:r>
        <w:t xml:space="preserve">[ ] BCP/DRP en borrador, sin aprobación formal.  </w:t>
      </w:r>
    </w:p>
    <w:p>
      <w:pPr>
        <w:pStyle w:val="ListBullet"/>
        <w:keepLines w:val="1"/>
        <w:keepNext w:val="1"/>
        <w:widowControl w:val="1"/>
      </w:pPr>
      <w:r>
        <w:t xml:space="preserve">[ ] BCP/DRP aprobados, sin pruebas recientes.  </w:t>
      </w:r>
    </w:p>
    <w:p>
      <w:pPr>
        <w:pStyle w:val="ListBullet"/>
        <w:keepLines w:val="1"/>
        <w:keepNext w:val="1"/>
        <w:widowControl w:val="1"/>
      </w:pPr>
      <w:r>
        <w:t xml:space="preserve">[ ] BCP/DRP probados en los últimos 24 meses.  </w:t>
      </w:r>
    </w:p>
    <w:p>
      <w:pPr>
        <w:pStyle w:val="ListBullet"/>
        <w:keepLines w:val="1"/>
        <w:widowControl w:val="1"/>
      </w:pPr>
      <w:r>
        <w:t>[ ] BCP/DRP probados al menos anualmente, con lecciones aprendidas integradas.</w:t>
      </w:r>
    </w:p>
    <w:p>
      <w:r>
        <w:rPr>
          <w:b/>
        </w:rPr>
        <w:t>P6.1.2</w:t>
      </w:r>
      <w:r>
        <w:t xml:space="preserve"> Frecuencia de </w:t>
      </w:r>
      <w:r>
        <w:rPr>
          <w:b/>
        </w:rPr>
        <w:t>simulacros de cibercrisis</w:t>
      </w:r>
      <w:r>
        <w:t xml:space="preserve"> con participación de la dirección:</w:t>
      </w:r>
    </w:p>
    <w:p>
      <w:pPr>
        <w:pStyle w:val="ListBullet"/>
        <w:keepLines w:val="1"/>
        <w:keepNext w:val="1"/>
        <w:widowControl w:val="1"/>
      </w:pPr>
      <w:r>
        <w:t xml:space="preserve">[ ] Nunca (los simulacros solo ocurren en producción).  </w:t>
      </w:r>
    </w:p>
    <w:p>
      <w:pPr>
        <w:pStyle w:val="ListBullet"/>
        <w:keepLines w:val="1"/>
        <w:keepNext w:val="1"/>
        <w:widowControl w:val="1"/>
      </w:pPr>
      <w:r>
        <w:t xml:space="preserve">[ ] Cada 3 años o menos.  </w:t>
      </w:r>
    </w:p>
    <w:p>
      <w:pPr>
        <w:pStyle w:val="ListBullet"/>
        <w:keepLines w:val="1"/>
        <w:keepNext w:val="1"/>
        <w:widowControl w:val="1"/>
      </w:pPr>
      <w:r>
        <w:t xml:space="preserve">[ ] Bienal.  </w:t>
      </w:r>
    </w:p>
    <w:p>
      <w:pPr>
        <w:pStyle w:val="ListBullet"/>
        <w:keepLines w:val="1"/>
        <w:keepNext w:val="1"/>
        <w:widowControl w:val="1"/>
      </w:pPr>
      <w:r>
        <w:t xml:space="preserve">[ ] Anual.  </w:t>
      </w:r>
    </w:p>
    <w:p>
      <w:pPr>
        <w:pStyle w:val="ListBullet"/>
        <w:keepLines w:val="1"/>
        <w:widowControl w:val="1"/>
      </w:pPr>
      <w:r>
        <w:t>[ ] Varias veces al año (según riesgos y cambios).</w:t>
      </w:r>
    </w:p>
    <w:p>
      <w:pPr>
        <w:pStyle w:val="Heading2"/>
        <w:keepNext/>
        <w:keepLines/>
      </w:pPr>
      <w:r>
        <w:rPr>
          <w:color w:val="0066CC"/>
        </w:rPr>
        <w:t>7. Monitorización, evaluación y mejora (MEA01‑03)</w:t>
      </w:r>
    </w:p>
    <w:p>
      <w:r>
        <w:t xml:space="preserve">Objetivos COBIT: </w:t>
      </w:r>
      <w:r>
        <w:rPr>
          <w:b/>
        </w:rPr>
        <w:t>MEA01 – Performance and Conformance Monitoring</w:t>
      </w:r>
      <w:r>
        <w:t xml:space="preserve">, </w:t>
      </w:r>
      <w:r>
        <w:rPr>
          <w:b/>
        </w:rPr>
        <w:t>MEA02 – System of Internal Control</w:t>
      </w:r>
      <w:r>
        <w:t xml:space="preserve">, </w:t>
      </w:r>
      <w:r>
        <w:rPr>
          <w:b/>
        </w:rPr>
        <w:t>MEA03 – Compliance</w:t>
      </w:r>
      <w:r>
        <w:t>.[web:17][web:34]</w:t>
      </w:r>
    </w:p>
    <w:p>
      <w:pPr>
        <w:pStyle w:val="Heading3"/>
        <w:keepNext/>
        <w:keepLines/>
      </w:pPr>
      <w:r>
        <w:t>7.1. Cuadros de mando e indicadores</w:t>
      </w:r>
    </w:p>
    <w:p>
      <w:r>
        <w:rPr>
          <w:b/>
        </w:rPr>
        <w:t>P7.1.1</w:t>
      </w:r>
      <w:r>
        <w:t xml:space="preserve"> ¿Dispone su organización de un </w:t>
      </w:r>
      <w:r>
        <w:rPr>
          <w:b/>
        </w:rPr>
        <w:t>cuadro de mando de ciberseguridad</w:t>
      </w:r>
      <w:r>
        <w:t xml:space="preserve"> con indicadores cuantificados?</w:t>
      </w:r>
    </w:p>
    <w:p>
      <w:pPr>
        <w:pStyle w:val="ListBullet"/>
        <w:keepLines w:val="1"/>
        <w:keepNext w:val="1"/>
        <w:widowControl w:val="1"/>
      </w:pPr>
      <w:r>
        <w:t xml:space="preserve">[ ] No; se vive al día.  </w:t>
      </w:r>
    </w:p>
    <w:p>
      <w:pPr>
        <w:pStyle w:val="ListBullet"/>
        <w:keepLines w:val="1"/>
        <w:keepNext w:val="1"/>
        <w:widowControl w:val="1"/>
      </w:pPr>
      <w:r>
        <w:t xml:space="preserve">[ ] Algunos indicadores dispersos, sin cuadro unificado.  </w:t>
      </w:r>
    </w:p>
    <w:p>
      <w:pPr>
        <w:pStyle w:val="ListBullet"/>
        <w:keepLines w:val="1"/>
        <w:keepNext w:val="1"/>
        <w:widowControl w:val="1"/>
      </w:pPr>
      <w:r>
        <w:t xml:space="preserve">[ ] Cuadro básico con 3‑5 indicadores.  </w:t>
      </w:r>
    </w:p>
    <w:p>
      <w:pPr>
        <w:pStyle w:val="ListBullet"/>
        <w:keepLines w:val="1"/>
        <w:keepNext w:val="1"/>
        <w:widowControl w:val="1"/>
      </w:pPr>
      <w:r>
        <w:t xml:space="preserve">[ ] Cuadro estructurado con indicadores por dominio (riesgo, incidentes, cumplimiento, proyectos).  </w:t>
      </w:r>
    </w:p>
    <w:p>
      <w:pPr>
        <w:pStyle w:val="ListBullet"/>
        <w:keepLines w:val="1"/>
        <w:widowControl w:val="1"/>
      </w:pPr>
      <w:r>
        <w:t>[ ] Cuadro maduro, alineado con objetivos de negocio y revisado periódicamente.</w:t>
      </w:r>
    </w:p>
    <w:p>
      <w:r>
        <w:rPr>
          <w:b/>
        </w:rPr>
        <w:t>P7.1.2</w:t>
      </w:r>
      <w:r>
        <w:t xml:space="preserve"> Periodicidad de revisión de indicadores de ciberseguridad:</w:t>
      </w:r>
    </w:p>
    <w:p>
      <w:pPr>
        <w:pStyle w:val="ListBullet"/>
        <w:keepLines w:val="1"/>
        <w:keepNext w:val="1"/>
        <w:widowControl w:val="1"/>
      </w:pPr>
      <w:r>
        <w:t xml:space="preserve">[ ] Ad hoc, ante incidentes o auditorías.  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año.  </w:t>
      </w:r>
    </w:p>
    <w:p>
      <w:pPr>
        <w:pStyle w:val="ListBullet"/>
        <w:keepLines w:val="1"/>
        <w:keepNext w:val="1"/>
        <w:widowControl w:val="1"/>
      </w:pPr>
      <w:r>
        <w:t xml:space="preserve">[ ] Trimestral.  </w:t>
      </w:r>
    </w:p>
    <w:p>
      <w:pPr>
        <w:pStyle w:val="ListBullet"/>
        <w:keepLines w:val="1"/>
        <w:keepNext w:val="1"/>
        <w:widowControl w:val="1"/>
      </w:pPr>
      <w:r>
        <w:t xml:space="preserve">[ ] Mensual.  </w:t>
      </w:r>
    </w:p>
    <w:p>
      <w:pPr>
        <w:pStyle w:val="ListBullet"/>
        <w:keepLines w:val="1"/>
        <w:widowControl w:val="1"/>
      </w:pPr>
      <w:r>
        <w:t>[ ] Semanal o continua.</w:t>
      </w:r>
    </w:p>
    <w:p>
      <w:pPr>
        <w:pStyle w:val="Heading3"/>
        <w:keepNext/>
        <w:keepLines/>
      </w:pPr>
      <w:r>
        <w:t>7.2. Auditoría y acciones de mejora</w:t>
      </w:r>
    </w:p>
    <w:p>
      <w:r>
        <w:rPr>
          <w:b/>
        </w:rPr>
        <w:t>P7.2.1</w:t>
      </w:r>
      <w:r>
        <w:t xml:space="preserve"> Frecuencia de auditorías internas o externas de ciberseguridad:</w:t>
      </w:r>
    </w:p>
    <w:p>
      <w:pPr>
        <w:pStyle w:val="ListBullet"/>
        <w:keepLines w:val="1"/>
        <w:keepNext w:val="1"/>
        <w:widowControl w:val="1"/>
      </w:pPr>
      <w:r>
        <w:t xml:space="preserve">[ ] Nunca.  </w:t>
      </w:r>
    </w:p>
    <w:p>
      <w:pPr>
        <w:pStyle w:val="ListBullet"/>
        <w:keepLines w:val="1"/>
        <w:keepNext w:val="1"/>
        <w:widowControl w:val="1"/>
      </w:pPr>
      <w:r>
        <w:t xml:space="preserve">[ ] Menos de una vez cada 3 años.  </w:t>
      </w:r>
    </w:p>
    <w:p>
      <w:pPr>
        <w:pStyle w:val="ListBullet"/>
        <w:keepLines w:val="1"/>
        <w:keepNext w:val="1"/>
        <w:widowControl w:val="1"/>
      </w:pPr>
      <w:r>
        <w:t xml:space="preserve">[ ] Cada 2‑3 años.  </w:t>
      </w:r>
    </w:p>
    <w:p>
      <w:pPr>
        <w:pStyle w:val="ListBullet"/>
        <w:keepLines w:val="1"/>
        <w:keepNext w:val="1"/>
        <w:widowControl w:val="1"/>
      </w:pPr>
      <w:r>
        <w:t xml:space="preserve">[ ] Anual.  </w:t>
      </w:r>
    </w:p>
    <w:p>
      <w:pPr>
        <w:pStyle w:val="ListBullet"/>
        <w:keepLines w:val="1"/>
        <w:widowControl w:val="1"/>
      </w:pPr>
      <w:r>
        <w:t>[ ] Varias veces al año (por normativa o riesgo).</w:t>
      </w:r>
    </w:p>
    <w:p>
      <w:r>
        <w:rPr>
          <w:b/>
        </w:rPr>
        <w:t>P7.2.2</w:t>
      </w:r>
      <w:r>
        <w:t xml:space="preserve"> Porcentaje de </w:t>
      </w:r>
      <w:r>
        <w:rPr>
          <w:b/>
        </w:rPr>
        <w:t>acciones correctivas</w:t>
      </w:r>
      <w:r>
        <w:t xml:space="preserve"> cerradas dentro del plazo comprometido:</w:t>
      </w:r>
    </w:p>
    <w:p>
      <w:pPr>
        <w:pStyle w:val="ListBullet"/>
        <w:keepLines w:val="1"/>
        <w:keepNext w:val="1"/>
        <w:widowControl w:val="1"/>
      </w:pPr>
      <w:r>
        <w:t xml:space="preserve">[ ] No se mide / desconocido.  </w:t>
      </w:r>
    </w:p>
    <w:p>
      <w:pPr>
        <w:pStyle w:val="ListBullet"/>
        <w:keepLines w:val="1"/>
        <w:keepNext w:val="1"/>
        <w:widowControl w:val="1"/>
      </w:pPr>
      <w:r>
        <w:t xml:space="preserve">[ ] 0 – 40 %.  </w:t>
      </w:r>
    </w:p>
    <w:p>
      <w:pPr>
        <w:pStyle w:val="ListBullet"/>
        <w:keepLines w:val="1"/>
        <w:keepNext w:val="1"/>
        <w:widowControl w:val="1"/>
      </w:pPr>
      <w:r>
        <w:t xml:space="preserve">[ ] 41 – 70 %.  </w:t>
      </w:r>
    </w:p>
    <w:p>
      <w:pPr>
        <w:pStyle w:val="ListBullet"/>
        <w:keepLines w:val="1"/>
        <w:keepNext w:val="1"/>
        <w:widowControl w:val="1"/>
      </w:pPr>
      <w:r>
        <w:t xml:space="preserve">[ ] 71 – 90 %.  </w:t>
      </w:r>
    </w:p>
    <w:p>
      <w:pPr>
        <w:pStyle w:val="ListBullet"/>
        <w:keepLines w:val="1"/>
        <w:widowControl w:val="1"/>
      </w:pPr>
      <w:r>
        <w:t>[ ] 91 – 100 % (el plan se cumple, casi).</w:t>
      </w:r>
    </w:p>
    <w:p>
      <w:pPr>
        <w:pStyle w:val="Heading2"/>
        <w:keepNext/>
        <w:keepLines/>
      </w:pPr>
      <w:r>
        <w:rPr>
          <w:color w:val="0066CC"/>
        </w:rPr>
        <w:t>8. Madurez global (autoevaluación rápida)</w:t>
      </w:r>
    </w:p>
    <w:p>
      <w:r>
        <w:t>Basado en la lógica de madurez COBIT 2019.[web:29][web:44]</w:t>
      </w:r>
    </w:p>
    <w:p>
      <w:r>
        <w:rPr>
          <w:b/>
        </w:rPr>
        <w:t>P8.1</w:t>
      </w:r>
      <w:r>
        <w:t xml:space="preserve"> ¿Cómo valoraría el </w:t>
      </w:r>
      <w:r>
        <w:rPr>
          <w:b/>
        </w:rPr>
        <w:t>nivel de madurez global</w:t>
      </w:r>
      <w:r>
        <w:t xml:space="preserve"> de su gestión de ciberseguridad, considerando procesos, personas, tecnología y cultura?</w:t>
      </w:r>
    </w:p>
    <w:p>
      <w:pPr>
        <w:pStyle w:val="ListBullet"/>
        <w:keepLines w:val="1"/>
        <w:keepNext w:val="1"/>
        <w:widowControl w:val="1"/>
      </w:pPr>
      <w:r>
        <w:t xml:space="preserve">[ ] Nivel 0 – Inexistente: ciberseguridad gestionada por el azar y la suerte.  </w:t>
      </w:r>
    </w:p>
    <w:p>
      <w:pPr>
        <w:pStyle w:val="ListBullet"/>
        <w:keepLines w:val="1"/>
        <w:keepNext w:val="1"/>
        <w:widowControl w:val="1"/>
      </w:pPr>
      <w:r>
        <w:t xml:space="preserve">[ ] Nivel 1 – Inicial: prácticas reactivas, dependientes de héroes locales.  </w:t>
      </w:r>
    </w:p>
    <w:p>
      <w:pPr>
        <w:pStyle w:val="ListBullet"/>
        <w:keepLines w:val="1"/>
        <w:keepNext w:val="1"/>
        <w:widowControl w:val="1"/>
      </w:pPr>
      <w:r>
        <w:t xml:space="preserve">[ ] Nivel 2 – Gestionado: procesos básicos definidos y aplicados de forma irregular.  </w:t>
      </w:r>
    </w:p>
    <w:p>
      <w:pPr>
        <w:pStyle w:val="ListBullet"/>
        <w:keepLines w:val="1"/>
        <w:keepNext w:val="1"/>
        <w:widowControl w:val="1"/>
      </w:pPr>
      <w:r>
        <w:t xml:space="preserve">[ ] Nivel 3 – Definido: procesos estandarizados y comunicados, con cumplimiento razonable.  </w:t>
      </w:r>
    </w:p>
    <w:p>
      <w:pPr>
        <w:pStyle w:val="ListBullet"/>
        <w:keepLines w:val="1"/>
        <w:keepNext w:val="1"/>
        <w:widowControl w:val="1"/>
      </w:pPr>
      <w:r>
        <w:t xml:space="preserve">[ ] Nivel 4 – Medido: procesos monitoreados con métricas y objetivos.  </w:t>
      </w:r>
    </w:p>
    <w:p>
      <w:pPr>
        <w:pStyle w:val="ListBullet"/>
        <w:keepLines w:val="1"/>
        <w:widowControl w:val="1"/>
      </w:pPr>
      <w:r>
        <w:t>[ ] Nivel 5 – Optimizado: mejora continua basada en datos y alineada con estrategia.</w:t>
      </w:r>
    </w:p>
    <w:p>
      <w:r>
        <w:rPr>
          <w:b/>
        </w:rPr>
        <w:t>P8.2 (abierta)</w:t>
      </w:r>
      <w:r>
        <w:t xml:space="preserve"> ¿Cuál considera que es la </w:t>
      </w:r>
      <w:r>
        <w:rPr>
          <w:b/>
        </w:rPr>
        <w:t>mayor fortaleza</w:t>
      </w:r>
      <w:r>
        <w:t xml:space="preserve"> de su organización en ciberseguridad?</w:t>
      </w:r>
      <w:r/>
      <w:r>
        <w:br/>
        <w:t xml:space="preserve">Texto libre:  </w:t>
      </w:r>
    </w:p>
    <w:p>
      <w:r>
        <w:rPr>
          <w:b/>
        </w:rPr>
        <w:t>P8.3 (abierta)</w:t>
      </w:r>
      <w:r>
        <w:t xml:space="preserve"> ¿Y la </w:t>
      </w:r>
      <w:r>
        <w:rPr>
          <w:b/>
        </w:rPr>
        <w:t>mayor debilidad o preocupación</w:t>
      </w:r>
      <w:r>
        <w:t xml:space="preserve"> actual?</w:t>
      </w:r>
      <w:r/>
      <w:r>
        <w:br/>
        <w:t xml:space="preserve">Texto libre:  </w:t>
      </w:r>
    </w:p>
    <w:p>
      <w:r>
        <w:rPr>
          <w:i/>
        </w:rPr>
        <w:t>Fin del cuestionario. Gracias por su franqueza, incluso si duele un poco.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