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 la Encuesta COBIT 2019 de Ciberseguridad</w:t>
      </w:r>
    </w:p>
    <w:p>
      <w:r>
        <w:t>Basada en los principios de COBIT 2019, su área de enfoque de seguridad de la información y metodologías de evaluación de madurez.[web:18][web:21][web:29][web:44]</w:t>
      </w:r>
    </w:p>
    <w:p>
      <w:pPr>
        <w:pStyle w:val="Heading2"/>
        <w:keepNext/>
        <w:keepLines/>
      </w:pPr>
      <w:r>
        <w:rPr>
          <w:color w:val="0066CC"/>
        </w:rPr>
        <w:t>1. Propósito de la encuesta</w:t>
      </w:r>
    </w:p>
    <w:p>
      <w:r>
        <w:t>La encuesta persigue tres fines esenciales:</w:t>
      </w:r>
    </w:p>
    <w:p>
      <w:pPr>
        <w:pStyle w:val="ListBullet"/>
        <w:keepLines w:val="1"/>
        <w:keepNext w:val="1"/>
        <w:widowControl w:val="1"/>
      </w:pPr>
      <w:r>
        <w:t xml:space="preserve">Medir el nivel de implantación práctica de los procesos de gobierno y gestión de ciberseguridad inspirados en COBIT 2019 (EDM, APO, BAI, DSS, MEA).[web:18][web:39]  </w:t>
      </w:r>
    </w:p>
    <w:p>
      <w:pPr>
        <w:pStyle w:val="ListBullet"/>
        <w:keepLines w:val="1"/>
        <w:keepNext w:val="1"/>
        <w:widowControl w:val="1"/>
      </w:pPr>
      <w:r>
        <w:t xml:space="preserve">Obtener una foto comparativa entre organizaciones, sectores y países, utilizando una taxonomía común de objetivos y prácticas.[web:24][web:50]  </w:t>
      </w:r>
    </w:p>
    <w:p>
      <w:pPr>
        <w:pStyle w:val="ListBullet"/>
        <w:keepLines w:val="1"/>
        <w:widowControl w:val="1"/>
      </w:pPr>
      <w:r>
        <w:t>Alimentar modelos de Índice Global de Madurez (IGM) y de ROI de iniciativas de ciberseguridad, para orientar decisiones estratégicas.[web:29][web:44]</w:t>
      </w:r>
    </w:p>
    <w:p>
      <w:pPr>
        <w:pStyle w:val="Heading2"/>
        <w:keepNext/>
        <w:keepLines/>
      </w:pPr>
      <w:r>
        <w:rPr>
          <w:color w:val="0066CC"/>
        </w:rPr>
        <w:t>2. Referencias normativas y conceptuales</w:t>
      </w:r>
    </w:p>
    <w:p>
      <w:r>
        <w:t>La encuesta se apoya en:</w:t>
      </w:r>
    </w:p>
    <w:p>
      <w:pPr>
        <w:pStyle w:val="ListBullet"/>
        <w:keepLines w:val="1"/>
        <w:keepNext w:val="1"/>
        <w:widowControl w:val="1"/>
      </w:pPr>
      <w:r>
        <w:t xml:space="preserve">COBIT 2019 – Framework: Introduction and Methodology (ISACA).[web:18][web:39]  </w:t>
      </w:r>
    </w:p>
    <w:p>
      <w:pPr>
        <w:pStyle w:val="ListBullet"/>
        <w:keepLines w:val="1"/>
        <w:keepNext w:val="1"/>
        <w:widowControl w:val="1"/>
      </w:pPr>
      <w:r>
        <w:t xml:space="preserve">COBIT 2019 – Governance and Management Objectives (ISACA).[web:18][web:39]  </w:t>
      </w:r>
    </w:p>
    <w:p>
      <w:pPr>
        <w:pStyle w:val="ListBullet"/>
        <w:keepLines w:val="1"/>
        <w:keepNext w:val="1"/>
        <w:widowControl w:val="1"/>
      </w:pPr>
      <w:r>
        <w:t xml:space="preserve">COBIT 2019 – Information Security Focus Area.[web:21][web:18]  </w:t>
      </w:r>
    </w:p>
    <w:p>
      <w:pPr>
        <w:pStyle w:val="ListBullet"/>
        <w:keepLines w:val="1"/>
        <w:keepNext w:val="1"/>
        <w:widowControl w:val="1"/>
      </w:pPr>
      <w:r>
        <w:t xml:space="preserve">Estudios académicos sobre evaluación de seguridad con COBIT 2019 e ISO 27001.[web:24][web:44]  </w:t>
      </w:r>
    </w:p>
    <w:p>
      <w:pPr>
        <w:pStyle w:val="ListBullet"/>
        <w:keepLines w:val="1"/>
        <w:widowControl w:val="1"/>
      </w:pPr>
      <w:r>
        <w:t>Propuestas de evaluación de madurez COBIT 2019 mediante escalas 0‑5.[web:29][web:50]</w:t>
      </w:r>
    </w:p>
    <w:p>
      <w:r>
        <w:t xml:space="preserve">No se pretende sustituir marcos específicos (ENS, NIS2, ISO 27001, NIST CSF), sino ofrecer un </w:t>
      </w:r>
      <w:r>
        <w:rPr>
          <w:b/>
        </w:rPr>
        <w:t>esqueleto de gobierno</w:t>
      </w:r>
      <w:r>
        <w:t xml:space="preserve"> que los conecte y ordene.</w:t>
      </w:r>
    </w:p>
    <w:p>
      <w:pPr>
        <w:pStyle w:val="Heading2"/>
        <w:keepNext/>
        <w:keepLines/>
      </w:pPr>
      <w:r>
        <w:rPr>
          <w:color w:val="0066CC"/>
        </w:rPr>
        <w:t>3. Universo de estudio y unidad de análisis</w:t>
      </w:r>
    </w:p>
    <w:p>
      <w:pPr>
        <w:pStyle w:val="ListBullet"/>
        <w:keepLines w:val="1"/>
        <w:keepNext w:val="1"/>
        <w:widowControl w:val="1"/>
      </w:pPr>
      <w:r>
        <w:t xml:space="preserve">Universo: organizaciones medianas y grandes con operaciones en España, preferentemente en sectores regulados o críticos.  </w:t>
      </w:r>
    </w:p>
    <w:p>
      <w:pPr>
        <w:pStyle w:val="ListBullet"/>
        <w:keepLines w:val="1"/>
        <w:keepNext w:val="1"/>
        <w:widowControl w:val="1"/>
      </w:pPr>
      <w:r>
        <w:t xml:space="preserve">Unidad de análisis: la organización (no el individuo). En grupos multinacionales, se recomienda responder a nivel filial/país.  </w:t>
      </w:r>
    </w:p>
    <w:p>
      <w:pPr>
        <w:pStyle w:val="ListBullet"/>
        <w:keepLines w:val="1"/>
        <w:widowControl w:val="1"/>
      </w:pPr>
      <w:r>
        <w:t>Respondentes: perfiles con visión transversal de ciberseguridad y TI (CISO, CIO, responsables de riesgo/compliance, directivos de negocio con cartera digital).</w:t>
      </w:r>
    </w:p>
    <w:p>
      <w:pPr>
        <w:pStyle w:val="Heading2"/>
        <w:keepNext/>
        <w:keepLines/>
      </w:pPr>
      <w:r>
        <w:rPr>
          <w:color w:val="0066CC"/>
        </w:rPr>
        <w:t>4. Estructura de la encuesta</w:t>
      </w:r>
    </w:p>
    <w:p>
      <w:r>
        <w:t>La encuesta se estructura en siete bloques principales más una autoevaluación de madurez:</w:t>
      </w:r>
    </w:p>
    <w:p>
      <w:pPr>
        <w:pStyle w:val="ListNumber"/>
        <w:keepLines w:val="1"/>
        <w:keepNext w:val="1"/>
        <w:widowControl w:val="1"/>
      </w:pPr>
      <w:r>
        <w:t xml:space="preserve">Datos generales (sector, tamaño, alcance geográfico, rol).  </w:t>
      </w:r>
    </w:p>
    <w:p>
      <w:pPr>
        <w:pStyle w:val="ListNumber"/>
        <w:keepLines w:val="1"/>
        <w:keepNext w:val="1"/>
        <w:widowControl w:val="1"/>
      </w:pPr>
      <w:r>
        <w:t xml:space="preserve">Gobierno y optimización del riesgo (EDM03).  </w:t>
      </w:r>
    </w:p>
    <w:p>
      <w:pPr>
        <w:pStyle w:val="ListNumber"/>
        <w:keepLines w:val="1"/>
        <w:keepNext w:val="1"/>
        <w:widowControl w:val="1"/>
      </w:pPr>
      <w:r>
        <w:t xml:space="preserve">Gestión del riesgo de TI (APO12).  </w:t>
      </w:r>
    </w:p>
    <w:p>
      <w:pPr>
        <w:pStyle w:val="ListNumber"/>
        <w:keepLines w:val="1"/>
        <w:keepNext w:val="1"/>
        <w:widowControl w:val="1"/>
      </w:pPr>
      <w:r>
        <w:t xml:space="preserve">Seguridad gestionada / SGSI (APO13).  </w:t>
      </w:r>
    </w:p>
    <w:p>
      <w:pPr>
        <w:pStyle w:val="ListNumber"/>
        <w:keepLines w:val="1"/>
        <w:keepNext w:val="1"/>
        <w:widowControl w:val="1"/>
      </w:pPr>
      <w:r>
        <w:t xml:space="preserve">Gestión de cambios de TI (BAI06).  </w:t>
      </w:r>
    </w:p>
    <w:p>
      <w:pPr>
        <w:pStyle w:val="ListNumber"/>
        <w:keepLines w:val="1"/>
        <w:keepNext w:val="1"/>
        <w:widowControl w:val="1"/>
      </w:pPr>
      <w:r>
        <w:t xml:space="preserve">Servicios de seguridad (DSS05).  </w:t>
      </w:r>
    </w:p>
    <w:p>
      <w:pPr>
        <w:pStyle w:val="ListNumber"/>
        <w:keepLines w:val="1"/>
        <w:keepNext w:val="1"/>
        <w:widowControl w:val="1"/>
      </w:pPr>
      <w:r>
        <w:t xml:space="preserve">Continuidad del servicio (DSS04).  </w:t>
      </w:r>
    </w:p>
    <w:p>
      <w:pPr>
        <w:pStyle w:val="ListNumber"/>
        <w:keepLines w:val="1"/>
        <w:keepNext w:val="1"/>
        <w:widowControl w:val="1"/>
      </w:pPr>
      <w:r>
        <w:t xml:space="preserve">Monitorización, evaluación y mejora (MEA01‑03).  </w:t>
      </w:r>
    </w:p>
    <w:p>
      <w:pPr>
        <w:pStyle w:val="ListNumber"/>
        <w:keepLines w:val="1"/>
        <w:widowControl w:val="1"/>
      </w:pPr>
      <w:r>
        <w:t>Autoevaluación de madurez global (escala 0‑5).</w:t>
      </w:r>
    </w:p>
    <w:p>
      <w:r>
        <w:t xml:space="preserve">Cada ítem se formula para que pueda traducirse a </w:t>
      </w:r>
      <w:r>
        <w:rPr>
          <w:b/>
        </w:rPr>
        <w:t>indicadores cuantificables</w:t>
      </w:r>
      <w:r>
        <w:t xml:space="preserve"> de implantación y madurez.</w:t>
      </w:r>
    </w:p>
    <w:p>
      <w:pPr>
        <w:pStyle w:val="Heading2"/>
        <w:keepNext/>
        <w:keepLines/>
      </w:pPr>
      <w:r>
        <w:rPr>
          <w:color w:val="0066CC"/>
        </w:rPr>
        <w:t>5. Escalas de respuesta y codificación</w:t>
      </w:r>
    </w:p>
    <w:p>
      <w:pPr>
        <w:pStyle w:val="Heading3"/>
        <w:keepNext/>
        <w:keepLines/>
      </w:pPr>
      <w:r>
        <w:t>5.1. Tipos de preguntas</w:t>
      </w:r>
    </w:p>
    <w:p>
      <w:pPr>
        <w:pStyle w:val="ListBullet"/>
        <w:keepLines w:val="1"/>
        <w:keepNext w:val="1"/>
        <w:widowControl w:val="1"/>
      </w:pPr>
      <w:r>
        <w:t xml:space="preserve">Preguntas de frecuencia: miden periodicidad (nunca, ad hoc, anual, trimestral…).  </w:t>
      </w:r>
    </w:p>
    <w:p>
      <w:pPr>
        <w:pStyle w:val="ListBullet"/>
        <w:keepLines w:val="1"/>
        <w:keepNext w:val="1"/>
        <w:widowControl w:val="1"/>
      </w:pPr>
      <w:r>
        <w:t xml:space="preserve">Preguntas de cobertura: estiman porcentajes de sistemas, procesos o acciones (rangos 0‑20 %, 21‑40 %, etc.).  </w:t>
      </w:r>
    </w:p>
    <w:p>
      <w:pPr>
        <w:pStyle w:val="ListBullet"/>
        <w:keepLines w:val="1"/>
        <w:keepNext w:val="1"/>
        <w:widowControl w:val="1"/>
      </w:pPr>
      <w:r>
        <w:t xml:space="preserve">Preguntas de nivel de formalización: distinguen entre inexistencia, práctica informal, proceso definido, proceso integrado.  </w:t>
      </w:r>
    </w:p>
    <w:p>
      <w:pPr>
        <w:pStyle w:val="ListBullet"/>
        <w:keepLines w:val="1"/>
        <w:widowControl w:val="1"/>
      </w:pPr>
      <w:r>
        <w:t>Preguntas de madurez autoevaluada: escala 0‑5 inspirada en COBIT 2019.[web:29][web:44]</w:t>
      </w:r>
    </w:p>
    <w:p>
      <w:pPr>
        <w:pStyle w:val="Heading3"/>
        <w:keepNext/>
        <w:keepLines/>
      </w:pPr>
      <w:r>
        <w:t>5.2. Codificación recomendada</w:t>
      </w:r>
    </w:p>
    <w:p>
      <w:r>
        <w:t>Para análisis cuantitativo, se sugiere asignar valores numéricos:</w:t>
      </w:r>
    </w:p>
    <w:p>
      <w:pPr>
        <w:pStyle w:val="ListBullet"/>
        <w:keepLines w:val="1"/>
        <w:keepNext w:val="1"/>
        <w:widowControl w:val="1"/>
      </w:pPr>
      <w:r>
        <w:t xml:space="preserve">Escalas de frecuencia: 0 (nunca) a 4 (máxima frecuencia).  </w:t>
      </w:r>
    </w:p>
    <w:p>
      <w:pPr>
        <w:pStyle w:val="ListBullet"/>
        <w:keepLines w:val="1"/>
        <w:keepNext w:val="1"/>
        <w:widowControl w:val="1"/>
      </w:pPr>
      <w:r>
        <w:t xml:space="preserve">Escalas de cobertura: 1 (0‑20 %) a 5 (81‑100 %).  </w:t>
      </w:r>
    </w:p>
    <w:p>
      <w:pPr>
        <w:pStyle w:val="ListBullet"/>
        <w:keepLines w:val="1"/>
        <w:keepNext w:val="1"/>
        <w:widowControl w:val="1"/>
      </w:pPr>
      <w:r>
        <w:t xml:space="preserve">Formalización: 0 (inexistente) a 4 (integrado).  </w:t>
      </w:r>
    </w:p>
    <w:p>
      <w:pPr>
        <w:pStyle w:val="ListBullet"/>
        <w:keepLines w:val="1"/>
        <w:widowControl w:val="1"/>
      </w:pPr>
      <w:r>
        <w:t>Madurez global: 0‑5 directamente.</w:t>
      </w:r>
    </w:p>
    <w:p>
      <w:r>
        <w:t xml:space="preserve">Esta codificación permitirá el cálculo del </w:t>
      </w:r>
      <w:r>
        <w:rPr>
          <w:b/>
        </w:rPr>
        <w:t>IGM</w:t>
      </w:r>
      <w:r>
        <w:t xml:space="preserve"> y otros índices derivados.</w:t>
      </w:r>
    </w:p>
    <w:p>
      <w:pPr>
        <w:pStyle w:val="Heading2"/>
        <w:keepNext/>
        <w:keepLines/>
      </w:pPr>
      <w:r>
        <w:rPr>
          <w:color w:val="0066CC"/>
        </w:rPr>
        <w:t>6. Índice Global de Madurez (IGM) – Nivel conceptual</w:t>
      </w:r>
    </w:p>
    <w:p>
      <w:r>
        <w:t>El IGM pretende sintetizar en un solo valor el estado de la organización en ciberseguridad desde la óptica COBIT. Se define conceptualmente como:</w:t>
      </w:r>
    </w:p>
    <w:p>
      <w:r>
        <w:t>[</w:t>
      </w:r>
      <w:r/>
      <w:r>
        <w:br/>
        <w:t>IGM = \sum_{d \in Dominios} w_d \cdot M_d</w:t>
      </w:r>
      <w:r/>
      <w:r>
        <w:br/>
        <w:t>]</w:t>
      </w:r>
    </w:p>
    <w:p>
      <w:r>
        <w:t>donde:</w:t>
      </w:r>
    </w:p>
    <w:p>
      <w:pPr>
        <w:pStyle w:val="ListBullet"/>
        <w:keepLines w:val="1"/>
        <w:keepNext w:val="1"/>
        <w:widowControl w:val="1"/>
      </w:pPr>
      <w:r>
        <w:t xml:space="preserve">(d) son dominios COBIT relevantes (Gobierno, Riesgo, Seguridad, Cambios, Servicios, Continuidad, Monitorización).  </w:t>
      </w:r>
    </w:p>
    <w:p>
      <w:pPr>
        <w:pStyle w:val="ListBullet"/>
        <w:keepLines w:val="1"/>
        <w:keepNext w:val="1"/>
        <w:widowControl w:val="1"/>
      </w:pPr>
      <w:r>
        <w:t xml:space="preserve">(w_d) es el peso del dominio (d) (según criticidad o sector).  </w:t>
      </w:r>
    </w:p>
    <w:p>
      <w:pPr>
        <w:pStyle w:val="ListBullet"/>
        <w:keepLines w:val="1"/>
        <w:widowControl w:val="1"/>
      </w:pPr>
      <w:r>
        <w:t>(M_d) es la puntuación normalizada de madurez en el dominio (d) (0‑5).</w:t>
      </w:r>
    </w:p>
    <w:p>
      <w:r>
        <w:t xml:space="preserve">La guía de cálculo detallada se proporciona en la </w:t>
      </w:r>
      <w:r>
        <w:rPr>
          <w:b/>
        </w:rPr>
        <w:t>Plantilla de Excel</w:t>
      </w:r>
      <w:r>
        <w:t xml:space="preserve"> descrita en otro documento.</w:t>
      </w:r>
    </w:p>
    <w:p>
      <w:pPr>
        <w:pStyle w:val="Heading2"/>
        <w:keepNext/>
        <w:keepLines/>
      </w:pPr>
      <w:r>
        <w:rPr>
          <w:color w:val="0066CC"/>
        </w:rPr>
        <w:t>7. Enfoque sobre ROI en ciberseguridad</w:t>
      </w:r>
    </w:p>
    <w:p>
      <w:r>
        <w:t>Aunque el ROI en ciberseguridad siempre tiene un toque de arte, la encuesta permite aproximarlo mediante:</w:t>
      </w:r>
    </w:p>
    <w:p>
      <w:pPr>
        <w:pStyle w:val="ListBullet"/>
        <w:keepLines w:val="1"/>
        <w:keepNext w:val="1"/>
        <w:widowControl w:val="1"/>
      </w:pPr>
      <w:r>
        <w:t xml:space="preserve">Indicadores de reducción de incidentes (frecuencia y gravedad) asociados a mejoras concretas (por ejemplo, implantación SOC, refuerzo SGSI).[web:46][web:21]  </w:t>
      </w:r>
    </w:p>
    <w:p>
      <w:pPr>
        <w:pStyle w:val="ListBullet"/>
        <w:keepLines w:val="1"/>
        <w:keepNext w:val="1"/>
        <w:widowControl w:val="1"/>
      </w:pPr>
      <w:r>
        <w:t xml:space="preserve">Incremento de nivel de cumplimiento y reducción de no conformidades que podrían derivar en sanciones o pérdidas.  </w:t>
      </w:r>
    </w:p>
    <w:p>
      <w:pPr>
        <w:pStyle w:val="ListBullet"/>
        <w:keepLines w:val="1"/>
        <w:widowControl w:val="1"/>
      </w:pPr>
      <w:r>
        <w:t>Mejora de tiempos de detección y respuesta (MTTD, MTTR) cuantificable frente a escenarios anteriores.[web:46][web:21]</w:t>
      </w:r>
    </w:p>
    <w:p>
      <w:r>
        <w:t>El ROI puede modelarse como:</w:t>
      </w:r>
    </w:p>
    <w:p>
      <w:r>
        <w:t>[</w:t>
      </w:r>
      <w:r/>
      <w:r>
        <w:br/>
        <w:t>ROI = \frac{Beneficios\ estimados\ (ahorros,\ pérdidas\ evitadas)}{Inversión\ acumulada\ en\ iniciativas\ de\ seguridad}</w:t>
      </w:r>
      <w:r/>
      <w:r>
        <w:br/>
        <w:t>]</w:t>
      </w:r>
    </w:p>
    <w:p>
      <w:r>
        <w:t>Utilizando variables derivadas de la encuesta (por ejemplo, número de incidentes graves antes/después, reducción del tiempo de parada, etc.).</w:t>
      </w:r>
    </w:p>
    <w:p>
      <w:pPr>
        <w:pStyle w:val="Heading2"/>
        <w:keepNext/>
        <w:keepLines/>
      </w:pPr>
      <w:r>
        <w:rPr>
          <w:color w:val="0066CC"/>
        </w:rPr>
        <w:t>8. Aplicación comparativa (nacional e internacional)</w:t>
      </w:r>
    </w:p>
    <w:p>
      <w:r>
        <w:t>La encuesta ha sido diseñada para:</w:t>
      </w:r>
    </w:p>
    <w:p>
      <w:pPr>
        <w:pStyle w:val="ListBullet"/>
        <w:keepLines w:val="1"/>
        <w:keepNext w:val="1"/>
        <w:widowControl w:val="1"/>
      </w:pPr>
      <w:r>
        <w:t xml:space="preserve">Permitir comparar sectores dentro de un país (p.ej. sanidad vs energía vs administración pública).  </w:t>
      </w:r>
    </w:p>
    <w:p>
      <w:pPr>
        <w:pStyle w:val="ListBullet"/>
        <w:keepLines w:val="1"/>
        <w:keepNext w:val="1"/>
        <w:widowControl w:val="1"/>
      </w:pPr>
      <w:r>
        <w:t xml:space="preserve">Alinear resultados con índices internacionales como el National Cyber Security Index (NCSI) y otros, mediante mapeos de dominios COBIT.[web:28][web:43]  </w:t>
      </w:r>
    </w:p>
    <w:p>
      <w:pPr>
        <w:pStyle w:val="ListBullet"/>
        <w:keepLines w:val="1"/>
        <w:widowControl w:val="1"/>
      </w:pPr>
      <w:r>
        <w:t>Facilitar la elaboración de informes país donde se representen niveles medios de madurez por dominio y se comparen con valores de referencia.</w:t>
      </w:r>
    </w:p>
    <w:p>
      <w:pPr>
        <w:pStyle w:val="Heading2"/>
        <w:keepNext/>
        <w:keepLines/>
      </w:pPr>
      <w:r>
        <w:rPr>
          <w:color w:val="0066CC"/>
        </w:rPr>
        <w:t>9. Recomendaciones de uso práctico</w:t>
      </w:r>
    </w:p>
    <w:p>
      <w:pPr>
        <w:pStyle w:val="ListBullet"/>
        <w:keepLines w:val="1"/>
        <w:keepNext w:val="1"/>
        <w:widowControl w:val="1"/>
      </w:pPr>
      <w:r>
        <w:t xml:space="preserve">Pilotaje: realizar un piloto con un conjunto reducido de organizaciones para ajustar redacción y tiempos de respuesta.  </w:t>
      </w:r>
    </w:p>
    <w:p>
      <w:pPr>
        <w:pStyle w:val="ListBullet"/>
        <w:keepLines w:val="1"/>
        <w:keepNext w:val="1"/>
        <w:widowControl w:val="1"/>
      </w:pPr>
      <w:r>
        <w:t xml:space="preserve">Confidencialidad: garantizar el tratamiento confidencial de las respuestas para obtener información realista.  </w:t>
      </w:r>
    </w:p>
    <w:p>
      <w:pPr>
        <w:pStyle w:val="ListBullet"/>
        <w:keepLines w:val="1"/>
        <w:keepNext w:val="1"/>
        <w:widowControl w:val="1"/>
      </w:pPr>
      <w:r>
        <w:t xml:space="preserve">Retroalimentación: ofrecer a los participantes un informe de retorno con su posición relativa respecto al sector, incentivando la participación.  </w:t>
      </w:r>
    </w:p>
    <w:p>
      <w:pPr>
        <w:pStyle w:val="ListBullet"/>
        <w:keepLines w:val="1"/>
        <w:widowControl w:val="1"/>
      </w:pPr>
      <w:r>
        <w:t>Periodicidad: repetir la encuesta (por ejemplo, anual) para observar tendencias y evaluar el impacto de las estrategias de ciberseguridad.</w:t>
      </w:r>
    </w:p>
    <w:p>
      <w:pPr>
        <w:pStyle w:val="Heading2"/>
        <w:keepNext/>
        <w:keepLines/>
      </w:pPr>
      <w:r>
        <w:rPr>
          <w:color w:val="0066CC"/>
        </w:rPr>
        <w:t>10. Tono y cultura de respuesta</w:t>
      </w:r>
    </w:p>
    <w:p>
      <w:r>
        <w:t xml:space="preserve">El ligero tono irónico de algunas opciones de respuesta no busca ridiculizar, sino ofrecer una </w:t>
      </w:r>
      <w:r>
        <w:rPr>
          <w:b/>
        </w:rPr>
        <w:t>auto-reflexión honesta</w:t>
      </w:r>
      <w:r>
        <w:t xml:space="preserve"> sobre la distancia entre el discurso y la práctica. Si una respuesta provoca una sonrisa incómoda, probablemente está haciendo su trabajo.</w:t>
      </w:r>
    </w:p>
    <w:p>
      <w:r>
        <w:rPr>
          <w:i/>
        </w:rPr>
        <w:t>Fin de la guía metodológica.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