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indicadores COBIT</w:t>
      </w:r>
    </w:p>
    <w:p>
      <w:r>
        <w:t>Matriz base para evaluar y ajustar la calidad de las métricas propuestas.[web:61][web:64]</w:t>
      </w:r>
    </w:p>
    <w:p>
      <w:pPr>
        <w:pStyle w:val="Heading2"/>
        <w:keepNext/>
        <w:keepLines/>
      </w:pPr>
      <w:r>
        <w:rPr>
          <w:color w:val="0066CC"/>
        </w:rPr>
        <w:t>1. Instrucciones de uso</w:t>
      </w:r>
    </w:p>
    <w:p>
      <w:pPr>
        <w:pStyle w:val="ListNumber"/>
        <w:keepLines w:val="1"/>
        <w:keepNext w:val="1"/>
        <w:widowControl w:val="1"/>
      </w:pPr>
      <w:r>
        <w:t xml:space="preserve">Cada fila corresponde a una métrica (M1.1, M1.2, etc.).  </w:t>
      </w:r>
    </w:p>
    <w:p>
      <w:pPr>
        <w:pStyle w:val="ListNumber"/>
        <w:keepLines w:val="1"/>
        <w:keepNext w:val="1"/>
        <w:widowControl w:val="1"/>
      </w:pPr>
      <w:r>
        <w:t xml:space="preserve">Cada columna de criterio PRAGMATIC se puntúa de 0 a 10.  </w:t>
      </w:r>
    </w:p>
    <w:p>
      <w:pPr>
        <w:pStyle w:val="ListNumber"/>
        <w:keepLines w:val="1"/>
        <w:keepNext w:val="1"/>
        <w:widowControl w:val="1"/>
      </w:pPr>
      <w:r>
        <w:t xml:space="preserve">La columna Score_Total puede ser la suma o la media de los nueve criterios.  </w:t>
      </w:r>
    </w:p>
    <w:p>
      <w:pPr>
        <w:pStyle w:val="ListNumber"/>
        <w:keepLines w:val="1"/>
        <w:widowControl w:val="1"/>
      </w:pPr>
      <w:r>
        <w:t>Se recomienda fijar un umbral mínimo (p.ej. 60/90) para considerar una métrica “apta para producción”.</w:t>
      </w:r>
    </w:p>
    <w:p>
      <w:pPr>
        <w:pStyle w:val="Heading2"/>
        <w:keepNext/>
        <w:keepLines/>
      </w:pPr>
      <w:r>
        <w:rPr>
          <w:color w:val="0066CC"/>
        </w:rPr>
        <w:t>2. Matriz PRAGMATIC (versión simplificada, editable)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Métrica | Descripción breve | P (Predictivo) | R (Relevante) | A (Accionable) | G (Genuino) | M (Significativo) | A (Preciso) | T (Oportuno) | I (Independiente) | C (Rentable) | Score_Total |</w:t>
        <w:br/>
        <w:t>| --- | --- | --- | --- | --- | --- | --- | --- | --- | --- | --- | --- |</w:t>
        <w:br/>
        <w:t>| M1.1 | Nº de reuniones/año con ciberseguridad en la agenda del órgano de gobierno | 7 | 9 | 8 | 7 | 9 | 8 | 8 | 7 | 9 | 72 |</w:t>
        <w:br/>
        <w:t>| M1.2 | Nivel de formalización de informes de ciberseguridad al órgano de gobierno | 8 | 9 | 8 | 7 | 9 | 7 | 8 | 6 | 9 | 71 |</w:t>
        <w:br/>
        <w:t>| M2.1 | Grado de formalización del proceso de gestión de riesgos de TI | 8 | 9 | 9 | 7 | 9 | 7 | 8 | 6 | 8 | 71 |</w:t>
        <w:br/>
        <w:t>| M2.2 | % de activos críticos con análisis de riesgos actualizado | 8 | 9 | 8 | 8 | 8 | 7 | 7 | 6 | 7 | 68 |</w:t>
        <w:br/>
        <w:t>| M3.1 | Nivel de madurez del SGSI | 8 | 9 | 8 | 7 | 9 | 7 | 8 | 6 | 7 | 69 |</w:t>
        <w:br/>
        <w:t>| M3.2 | Nivel de alineamiento/certificación ISO 27001 | 7 | 8 | 7 | 8 | 8 | 9 | 7 | 8 | 6 | 68 |</w:t>
        <w:br/>
        <w:t>| M3.3 | % presupuesto TI dedicado a seguridad | 7 | 7 | 8 | 6 | 8 | 7 | 7 | 6 | 8 | 64 |</w:t>
        <w:br/>
        <w:t>| M4.1 | % cambios críticos con evaluación de seguridad | 8 | 9 | 9 | 7 | 8 | 7 | 7 | 6 | 7 | 68 |</w:t>
        <w:br/>
        <w:t>| M4.2 | % incidentes atribuibles a cambios mal gestionados | 8 | 8 | 8 | 6 | 8 | 6 | 7 | 6 | 6 | 63 |</w:t>
        <w:br/>
        <w:t>| M5.1 | Nivel de madurez de capacidades SOC | 8 | 9 | 8 | 7 | 9 | 7 | 7 | 6 | 7 | 68 |</w:t>
        <w:br/>
        <w:t>| M5.2 | MTTD/MTTR medios de incidentes significativos | 9 | 9 | 9 | 8 | 9 | 8 | 7 | 7 | 7 | 73 |</w:t>
        <w:br/>
        <w:t>| M5.3 | % de vulnerabilidades críticas resueltas en plazo | 8 | 9 | 9 | 8 | 8 | 7 | 7 | 6 | 7 | 69 |</w:t>
        <w:br/>
        <w:t>| M6.1 | Estado y frecuencia de pruebas de BCP/DRP | 8 | 9 | 8 | 7 | 9 | 7 | 7 | 6 | 7 | 68 |</w:t>
        <w:br/>
        <w:t>| M6.2 | Frecuencia de simulacros de cibercrisis con dirección | 8 | 8 | 8 | 7 | 8 | 8 | 7 | 7 | 6 | 67 |</w:t>
        <w:br/>
        <w:t>| M7.1 | Nivel de formalización del cuadro de mando de ciberseguridad | 8 | 9 | 9 | 7 | 9 | 7 | 8 | 6 | 8 | 71 |</w:t>
        <w:br/>
        <w:t>| M7.2 | Frecuencia de auditorías de seguridad | 8 | 8 | 8 | 7 | 8 | 7 | 7 | 7 | 7 | 67 |</w:t>
        <w:br/>
        <w:t>| M7.3 | % de acciones correctivas cerradas en plazo | 8 | 8 | 9 | 7 | 8 | 7 | 7 | 7 | 7 | 68 |</w:t>
        <w:br/>
      </w:r>
    </w:p>
    <w:p>
      <w:pPr>
        <w:pStyle w:val="Heading2"/>
        <w:keepNext/>
        <w:keepLines/>
      </w:pPr>
      <w:r>
        <w:rPr>
          <w:color w:val="0066CC"/>
        </w:rPr>
        <w:t>3. Personalización</w:t>
      </w:r>
    </w:p>
    <w:p>
      <w:pPr>
        <w:pStyle w:val="ListBullet"/>
        <w:keepLines w:val="1"/>
        <w:keepNext w:val="1"/>
        <w:widowControl w:val="1"/>
      </w:pPr>
      <w:r>
        <w:t xml:space="preserve">Ajustar los scores a la realidad y prioridades del país o sector.  </w:t>
      </w:r>
    </w:p>
    <w:p>
      <w:pPr>
        <w:pStyle w:val="ListBullet"/>
        <w:keepLines w:val="1"/>
        <w:keepNext w:val="1"/>
        <w:widowControl w:val="1"/>
      </w:pPr>
      <w:r>
        <w:t xml:space="preserve">Añadir métricas nuevas o variantes sectoriales (p.ej. métricas específicas para sanidad, energía, financiero).  </w:t>
      </w:r>
    </w:p>
    <w:p>
      <w:pPr>
        <w:pStyle w:val="ListBullet"/>
        <w:keepLines w:val="1"/>
        <w:widowControl w:val="1"/>
      </w:pPr>
      <w:r>
        <w:t>Usar el Score_Total para priorizar qué métricas entrarían en paneles nacionales o sectoriales.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