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GQM de preguntas de encuesta COBIT a requisitos normativos</w:t>
      </w:r>
    </w:p>
    <w:p>
      <w:r>
        <w:t>A partir del modelo de encuesta COBIT y de los indicadores asociados, se mapea cada pregunta a su objetivo COBIT, Goal GQM, métricas y marcos normativos relevantes.[web:18][web:24][web:43]</w:t>
      </w:r>
    </w:p>
    <w:p>
      <w:pPr>
        <w:pStyle w:val="Heading2"/>
        <w:keepNext/>
        <w:keepLines/>
      </w:pPr>
      <w:r>
        <w:rPr>
          <w:color w:val="0066CC"/>
        </w:rPr>
        <w:t>1. Estructura del mapeo</w:t>
      </w:r>
    </w:p>
    <w:p>
      <w:r>
        <w:t>Cada fila de la tabla recoge:</w:t>
      </w:r>
    </w:p>
    <w:p>
      <w:pPr>
        <w:pStyle w:val="ListBullet"/>
        <w:keepLines w:val="1"/>
        <w:keepNext w:val="1"/>
        <w:widowControl w:val="1"/>
      </w:pPr>
      <w:r>
        <w:t xml:space="preserve">Pregunta de la encuesta.  </w:t>
      </w:r>
    </w:p>
    <w:p>
      <w:pPr>
        <w:pStyle w:val="ListBullet"/>
        <w:keepLines w:val="1"/>
        <w:keepNext w:val="1"/>
        <w:widowControl w:val="1"/>
      </w:pPr>
      <w:r>
        <w:t xml:space="preserve">Goal GQM al que contribuye.  </w:t>
      </w:r>
    </w:p>
    <w:p>
      <w:pPr>
        <w:pStyle w:val="ListBullet"/>
        <w:keepLines w:val="1"/>
        <w:keepNext w:val="1"/>
        <w:widowControl w:val="1"/>
      </w:pPr>
      <w:r>
        <w:t xml:space="preserve">Objective COBIT principal.  </w:t>
      </w:r>
    </w:p>
    <w:p>
      <w:pPr>
        <w:pStyle w:val="ListBullet"/>
        <w:keepLines w:val="1"/>
        <w:keepNext w:val="1"/>
        <w:widowControl w:val="1"/>
      </w:pPr>
      <w:r>
        <w:t xml:space="preserve">Métrica(s) asociadas.  </w:t>
      </w:r>
    </w:p>
    <w:p>
      <w:pPr>
        <w:pStyle w:val="ListBullet"/>
        <w:keepLines w:val="1"/>
        <w:widowControl w:val="1"/>
      </w:pPr>
      <w:r>
        <w:t>Normas / marcos de referencia.</w:t>
      </w:r>
    </w:p>
    <w:p>
      <w:pPr>
        <w:pStyle w:val="Heading2"/>
        <w:keepNext/>
        <w:keepLines/>
      </w:pPr>
      <w:r>
        <w:rPr>
          <w:color w:val="0066CC"/>
        </w:rPr>
        <w:t>2. Tabla de mapeo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Pregunta encuesta | Goal GQM | Objetivo COBIT | Métrica(s) asociadas | Normas / marcos relacionados |</w:t>
        <w:br/>
        <w:t>| --- | --- | --- | --- | --- |</w:t>
        <w:br/>
        <w:t>| P1.1.1 Frecuencia de revisión de ciberseguridad por el órgano de gobierno | G1 – Optimizar riesgo de ciberseguridad vía supervisión efectiva | EDM03 – Ensured Risk Optimization | M1.1 Nº reuniones/año con ciberseguridad en la agenda | NIS2 (gobernanza), ENS (principios), códigos de buen gobierno |</w:t>
        <w:br/>
        <w:t>| P1.1.2 Informes de ciberseguridad al órgano de gobierno | G1 | EDM03, MEA01 | M1.2 Nivel de formalización de informes | NIS2 (gestión de riesgos), ISO 27001 (5.1, 9.3) |</w:t>
        <w:br/>
        <w:t>| P1.2.1 Declaración de apetito y tolerancia al riesgo | G1 | EDM03, APO12 | M2.1 (indirecta) madurez del proceso de riesgo; indicador booleano de existencia | ISO 31000, COSO ERM, NIS2 |</w:t>
        <w:br/>
        <w:t>| P1.2.2 Revisión del apetito al riesgo | G1 | EDM03 | Métrica de frecuencia de revisión (ordinal) | ISO 31000, buenas prácticas de gobierno |</w:t>
        <w:br/>
        <w:t>| P2.1.1 Proceso formal de gestión de riesgos de TI | G2 – Gestionar sistemáticamente el riesgo de TI | APO12 – Managed Risk | M2.1 Grado de formalización del proceso | ISO 27001 (cláusulas 6 y 8), ENS, NIS2 |</w:t>
        <w:br/>
        <w:t>| P2.1.2 Cobertura del proceso (tipos de riesgos) | G2 | APO12 | Métrica de alcance del proceso de riesgo (escala ordinal) | ISO 27005, NIST SP 800‑30 |</w:t>
        <w:br/>
        <w:t>| P2.2.1% de activos críticos con análisis de riesgos vigente | G2 | APO12 | M2.2% activos críticos con análisis de riesgos actualizado | ISO 27001 (A.8), ENS (ANEXO II) |</w:t>
        <w:br/>
        <w:t>| P2.2.2 Frecuencia de revisión de análisis de riesgos | G2 | APO12, MEA01 | Métrica de frecuencia de revisión (ordinal) | ISO 27005, ENS |</w:t>
        <w:br/>
        <w:t>| P3.1.1 Existencia y madurez del SGSI | G3 – Implantar SGSI efectivos | APO13 – Managed Security | M3.1 Nivel de madurez del SGSI | ISO 27001, ENS, NIS2 |</w:t>
        <w:br/>
        <w:t>| P3.1.2 Alineamiento / certificación ISO 27001 | G3 | APO13 | M3.2 Nivel de alineamiento/certificación | ISO 27001, esquemas nacionales de certificación |</w:t>
        <w:br/>
        <w:t>| P3.2.1 Función de seguridad (CISO) | G3 | APO13, EDM03 | Métrica de formalización del rol CISO (ordinal) | NIS2 (responsabilidades), ENS (organización) |</w:t>
        <w:br/>
        <w:t>| P3.2.2% presupuesto TI dedicado a seguridad | G3 | APO13, EDM03 | M3.3% presupuesto TI en seguridad | Buenas prácticas de gobernanza TI, informes sectoriales |</w:t>
        <w:br/>
        <w:t>| P4.1.1% cambios críticos con evaluación de seguridad | G4 – Cambios de TI seguros | BAI06 – Managed IT Changes | M4.1% cambios con evaluación de seguridad | ISO 27001 (A.8, A.14), ITIL, ENS |</w:t>
        <w:br/>
        <w:t>| P4.1.2 Pruebas de seguridad asociadas a cambios | G4 | BAI06, DSS05 | Métrica de nivel de integración de pruebas de seguridad en cambios | ISO 27001 (A.12, A.14), guías DevSecOps |</w:t>
        <w:br/>
        <w:t>| P4.2.1 Incidentes por cambios mal gestionados | G4 | BAI06, DSS02 | M4.2% incidentes atribuibles a cambios | ISO 27001 (A.16), NIST CSF (Identify/Protect) |</w:t>
        <w:br/>
        <w:t>| P5.1.1 Capacidades SOC / monitorización | G5 – Servicios de seguridad eficaces | DSS05 – Managed Security Services | M5.1 Nivel de madurez SOC | NIS2 (detección), ENS (detección), NIST CSF (Detect) |</w:t>
        <w:br/>
        <w:t>| P5.1.2 MTTD de incidentes | G5 | DSS05, MEA01 | M5.2 Tiempo medio de detección | NIST CSF (Detect, Respond), guías de métricas de seguridad |</w:t>
        <w:br/>
        <w:t>| P5.2.1 MTTR de incidentes | G5 | DSS05, DSS02 | M5.2 Tiempo medio de respuesta | NIST CSF (Respond, Recover), ISO 27035 |</w:t>
        <w:br/>
        <w:t>| P5.2.2% vulnerabilidades críticas resueltas en plazo | G5 | DSS05, APO12 | M5.3% vulnerabilidades críticas resueltas dentro del SLA | ISO 27001 (A.12), NIST SP 800‑40 |</w:t>
        <w:br/>
        <w:t>| P6.1.1 Estado y pruebas de BCP/DRP | G6 – Mejorar resiliencia y continuidad | DSS04 – Managed Continuity | M6.1 Nivel de pruebas de continuidad | ISO 22301, ISO 27001 (A.17), ENS |</w:t>
        <w:br/>
        <w:t>| P6.1.2 Simulacros de cibercrisis con dirección | G6 | DSS04, EDM03 | M6.2 Frecuencia de simulacros | NIST CSF (Respond/Recover), guías nacionales de ciberresiliencia |</w:t>
        <w:br/>
        <w:t>| P7.1.1 Cuadro de mando de ciberseguridad | G7 – Monitorizar y mejorar | MEA01 – Performance and Conformance Monitoring | M7.1 Nivel de formalización del cuadro de mando | ISO 27004, NIS2 |</w:t>
        <w:br/>
        <w:t>| P7.1.2 Periodicidad de revisión de indicadores | G7 | MEA01, EDM03 | Métrica de frecuencia de revisión (ordinal) | Buen gobierno TI, ISO 27004 |</w:t>
        <w:br/>
        <w:t>| P7.2.1 Frecuencia de auditorías de seguridad | G7 | MEA02 – System of Internal Control | M7.2 Frecuencia de auditorías | ISO 27001 (auditoría interna), ENS, normas sectoriales |</w:t>
        <w:br/>
        <w:t>| P7.2.2% acciones correctivas cerradas en plazo | G7 | MEA02, MEA03 – Compliance | M7.3% acciones correctivas cerradas a tiempo | ISO 27001 (no conformidades), marcos de compliance |</w:t>
        <w:br/>
        <w:t>| P8.1 Madurez global autoevaluada | G1–G7 (transversal) | Todos (CPM COBIT 2019) | Métrica de madurez global 0‑5 | COBIT 2019 Performance Management |</w:t>
        <w:br/>
        <w:t>| P8.2 / P8.3 Fortalezas y debilidades | G1–G7 | Transversal | Métricas cualitativas (texto libre) | Planes estratégicos nacionales, NIS2, ENS |</w:t>
        <w:br/>
      </w:r>
    </w:p>
    <w:p>
      <w:r>
        <w:rPr>
          <w:i/>
        </w:rPr>
        <w:t>Fin del mapeo.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