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r>
        <w:t>Descripción conceptual de una hoja Excel lista para implementar a partir de las respuestas de la encuesta.[web:29][web:44][web:46]</w:t>
      </w:r>
    </w:p>
    <w:p>
      <w:pPr>
        <w:pStyle w:val="Heading2"/>
        <w:keepNext/>
        <w:keepLines/>
      </w:pPr>
      <w:r>
        <w:rPr>
          <w:color w:val="0066CC"/>
        </w:rPr>
        <w:t>1. Estructura general de la hoja</w:t>
      </w:r>
    </w:p>
    <w:p>
      <w:r>
        <w:t>Se recomienda un libro Excel con las siguientes pestañas:</w:t>
      </w:r>
    </w:p>
    <w:p>
      <w:pPr>
        <w:pStyle w:val="ListNumber"/>
        <w:keepLines w:val="1"/>
        <w:keepNext w:val="1"/>
        <w:widowControl w:val="1"/>
      </w:pPr>
      <w:r>
        <w:t xml:space="preserve">Encuesta – Registro de respuestas por organización.  </w:t>
      </w:r>
    </w:p>
    <w:p>
      <w:pPr>
        <w:pStyle w:val="ListNumber"/>
        <w:keepLines w:val="1"/>
        <w:keepNext w:val="1"/>
        <w:widowControl w:val="1"/>
      </w:pPr>
      <w:r>
        <w:t xml:space="preserve">Ponderaciones – Pesos de dominios y preguntas.  </w:t>
      </w:r>
    </w:p>
    <w:p>
      <w:pPr>
        <w:pStyle w:val="ListNumber"/>
        <w:keepLines w:val="1"/>
        <w:keepNext w:val="1"/>
        <w:widowControl w:val="1"/>
      </w:pPr>
      <w:r>
        <w:t xml:space="preserve">Cálculos_IGM – Cálculo del Índice Global de Madurez y subíndices.  </w:t>
      </w:r>
    </w:p>
    <w:p>
      <w:pPr>
        <w:pStyle w:val="ListNumber"/>
        <w:keepLines w:val="1"/>
        <w:keepNext w:val="1"/>
        <w:widowControl w:val="1"/>
      </w:pPr>
      <w:r>
        <w:t xml:space="preserve">Cálculos_ROI – Estimaciones de ROI en ciberseguridad.  </w:t>
      </w:r>
    </w:p>
    <w:p>
      <w:pPr>
        <w:pStyle w:val="ListNumber"/>
        <w:keepLines w:val="1"/>
        <w:widowControl w:val="1"/>
      </w:pPr>
      <w:r>
        <w:t>Resultados – Cuadros de mando y resúmenes.</w:t>
      </w:r>
    </w:p>
    <w:p>
      <w:pPr>
        <w:pStyle w:val="Heading2"/>
        <w:keepNext/>
        <w:keepLines/>
      </w:pPr>
      <w:r>
        <w:rPr>
          <w:color w:val="0066CC"/>
        </w:rPr>
        <w:t>2. Hoja “Encuesta”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ID_Org </w:t>
      </w:r>
    </w:p>
    <w:p>
      <w:pPr>
        <w:pStyle w:val="ListBullet"/>
        <w:keepLines w:val="1"/>
        <w:keepNext w:val="1"/>
        <w:widowControl w:val="1"/>
      </w:pPr>
      <w:r>
        <w:t xml:space="preserve">Nombre_Org </w:t>
      </w:r>
    </w:p>
    <w:p>
      <w:pPr>
        <w:pStyle w:val="ListBullet"/>
        <w:keepLines w:val="1"/>
        <w:keepNext w:val="1"/>
        <w:widowControl w:val="1"/>
      </w:pPr>
      <w:r>
        <w:t xml:space="preserve">Sector </w:t>
      </w:r>
    </w:p>
    <w:p>
      <w:pPr>
        <w:pStyle w:val="ListBullet"/>
        <w:keepLines w:val="1"/>
        <w:keepNext w:val="1"/>
        <w:widowControl w:val="1"/>
      </w:pPr>
      <w:r>
        <w:t xml:space="preserve">Tamaño </w:t>
      </w:r>
    </w:p>
    <w:p>
      <w:pPr>
        <w:pStyle w:val="ListBullet"/>
        <w:keepLines w:val="1"/>
        <w:keepNext w:val="1"/>
        <w:widowControl w:val="1"/>
      </w:pPr>
      <w:r>
        <w:t xml:space="preserve">Ámbito </w:t>
      </w:r>
    </w:p>
    <w:p>
      <w:pPr>
        <w:pStyle w:val="ListBullet"/>
        <w:keepLines w:val="1"/>
        <w:widowControl w:val="1"/>
      </w:pPr>
      <w:r>
        <w:t xml:space="preserve">P1_1_1, P1_1_2, … hasta P8_3 </w:t>
      </w:r>
    </w:p>
    <w:p>
      <w:r>
        <w:t xml:space="preserve">Cada columna de pregunta almacena un </w:t>
      </w:r>
      <w:r>
        <w:rPr>
          <w:b/>
        </w:rPr>
        <w:t>valor numérico codificado</w:t>
      </w:r>
      <w:r>
        <w:t xml:space="preserve"> según las escalas definidas en la guía metodológica (por ejemplo, de 0 a 4, 0 a 5, etc.).</w:t>
      </w:r>
    </w:p>
    <w:p>
      <w:pPr>
        <w:pStyle w:val="Heading2"/>
        <w:keepNext/>
        <w:keepLines/>
      </w:pPr>
      <w:r>
        <w:rPr>
          <w:color w:val="0066CC"/>
        </w:rPr>
        <w:t>3. Hoja “Ponderaciones”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Dominio (Gobierno, Riesgo, Seguridad, Cambios, Servicios, Continuidad, Monitorización)  </w:t>
      </w:r>
    </w:p>
    <w:p>
      <w:pPr>
        <w:pStyle w:val="ListBullet"/>
        <w:keepLines w:val="1"/>
        <w:keepNext w:val="1"/>
        <w:widowControl w:val="1"/>
      </w:pPr>
      <w:r>
        <w:t xml:space="preserve">Peso_Dominio (por defecto, todos = 1 o pesos ajustados según criticidad)  </w:t>
      </w:r>
    </w:p>
    <w:p>
      <w:pPr>
        <w:pStyle w:val="ListBullet"/>
        <w:keepLines w:val="1"/>
        <w:keepNext w:val="1"/>
        <w:widowControl w:val="1"/>
      </w:pPr>
      <w:r>
        <w:t xml:space="preserve">Pregunta (ej. P1_1_1)  </w:t>
      </w:r>
    </w:p>
    <w:p>
      <w:pPr>
        <w:pStyle w:val="ListBullet"/>
        <w:keepLines w:val="1"/>
        <w:keepNext w:val="1"/>
        <w:widowControl w:val="1"/>
      </w:pPr>
      <w:r>
        <w:t xml:space="preserve">Peso_Pregunta (peso relativo de la pregunta dentro del dominio)  </w:t>
      </w:r>
    </w:p>
    <w:p>
      <w:pPr>
        <w:pStyle w:val="ListBullet"/>
        <w:keepLines w:val="1"/>
        <w:widowControl w:val="1"/>
      </w:pPr>
      <w:r>
        <w:t>Máx_Puntuación_Pregunta (valor máximo posible en la escala codificada)</w:t>
      </w:r>
    </w:p>
    <w:p>
      <w:r>
        <w:t>Esto permite ajustar la influencia relativa de cada pregunta y dominio en el IGM.</w:t>
      </w:r>
    </w:p>
    <w:p>
      <w:pPr>
        <w:pStyle w:val="Heading2"/>
        <w:keepNext/>
        <w:keepLines/>
      </w:pPr>
      <w:r>
        <w:rPr>
          <w:color w:val="0066CC"/>
        </w:rPr>
        <w:t>4. Hoja “Cálculos_IGM”</w:t>
      </w:r>
    </w:p>
    <w:p>
      <w:pPr>
        <w:pStyle w:val="Heading3"/>
        <w:keepNext/>
        <w:keepLines/>
      </w:pPr>
      <w:r>
        <w:t>4.1. Cálculo de puntuación por pregunta normalizada</w:t>
      </w:r>
    </w:p>
    <w:p>
      <w:r>
        <w:t>Para cada organización (fila) y pregunta (columna), se puede calcular:</w:t>
      </w:r>
    </w:p>
    <w:p>
      <w:pPr>
        <w:pStyle w:val="ListBullet"/>
        <w:keepLines w:val="1"/>
        <w:widowControl w:val="1"/>
      </w:pPr>
      <w:r>
        <w:t>Punt_Pregunta_Norm = Valor_Respuesta / Máx_Puntuación_Pregunta</w:t>
      </w:r>
    </w:p>
    <w:p>
      <w:pPr>
        <w:pStyle w:val="Heading3"/>
        <w:keepNext/>
        <w:keepLines/>
      </w:pPr>
      <w:r>
        <w:t>4.2. Puntuación por dominio</w:t>
      </w:r>
    </w:p>
    <w:p>
      <w:r>
        <w:t>Para cada dominio (d):</w:t>
      </w:r>
    </w:p>
    <w:p>
      <w:r>
        <w:t>[</w:t>
      </w:r>
      <w:r/>
      <w:r>
        <w:br/>
        <w:t>M_d = \frac{\sum (Punt_Pregunta_Norm \cdot Peso_Pregunta)}{\sum Peso_Pregunta} \times 5</w:t>
      </w:r>
      <w:r/>
      <w:r>
        <w:br/>
        <w:t>]</w:t>
      </w:r>
    </w:p>
    <w:p>
      <w:r>
        <w:t>Es decir, una media ponderada de puntuaciones normalizadas escalada a 0‑5.</w:t>
      </w:r>
    </w:p>
    <w:p>
      <w:pPr>
        <w:pStyle w:val="Heading3"/>
        <w:keepNext/>
        <w:keepLines/>
      </w:pPr>
      <w:r>
        <w:t>4.3. Índice Global de Madurez (IGM)</w:t>
      </w:r>
    </w:p>
    <w:p>
      <w:r>
        <w:t>Para cada organización:</w:t>
      </w:r>
    </w:p>
    <w:p>
      <w:r>
        <w:t>[</w:t>
      </w:r>
      <w:r/>
      <w:r>
        <w:br/>
        <w:t>IGM = \frac{\sum (M_d \cdot Peso_Dominio)}{\sum Peso_Dominio}</w:t>
      </w:r>
      <w:r/>
      <w:r>
        <w:br/>
        <w:t>]</w:t>
      </w:r>
    </w:p>
    <w:p>
      <w:r>
        <w:t>El resultado puede representarse en escala 0‑5 o 0‑100 (multiplicando por 20).</w:t>
      </w:r>
    </w:p>
    <w:p>
      <w:pPr>
        <w:pStyle w:val="Heading2"/>
        <w:keepNext/>
        <w:keepLines/>
      </w:pPr>
      <w:r>
        <w:rPr>
          <w:color w:val="0066CC"/>
        </w:rPr>
        <w:t>5. Hoja “Cálculos_ROI”</w:t>
      </w:r>
    </w:p>
    <w:p>
      <w:r>
        <w:t>Aunque la encuesta no es un registro financiero, permite estimar un ROI aproximado modelando:</w:t>
      </w:r>
    </w:p>
    <w:p>
      <w:pPr>
        <w:pStyle w:val="ListBullet"/>
        <w:keepLines w:val="1"/>
        <w:keepNext w:val="1"/>
        <w:widowControl w:val="1"/>
      </w:pPr>
      <w:r>
        <w:t xml:space="preserve">Incidentes_Graves_Antes </w:t>
      </w:r>
    </w:p>
    <w:p>
      <w:pPr>
        <w:pStyle w:val="ListBullet"/>
        <w:keepLines w:val="1"/>
        <w:keepNext w:val="1"/>
        <w:widowControl w:val="1"/>
      </w:pPr>
      <w:r>
        <w:t xml:space="preserve">Incidentes_Graves_Después </w:t>
      </w:r>
    </w:p>
    <w:p>
      <w:pPr>
        <w:pStyle w:val="ListBullet"/>
        <w:keepLines w:val="1"/>
        <w:keepNext w:val="1"/>
        <w:widowControl w:val="1"/>
      </w:pPr>
      <w:r>
        <w:t xml:space="preserve">Coste_Medio_Incidente </w:t>
      </w:r>
    </w:p>
    <w:p>
      <w:pPr>
        <w:pStyle w:val="ListBullet"/>
        <w:keepLines w:val="1"/>
        <w:keepNext w:val="1"/>
        <w:widowControl w:val="1"/>
      </w:pPr>
      <w:r>
        <w:t xml:space="preserve">Coste_Iniciativas_Seguridad (acumulado)  </w:t>
      </w:r>
    </w:p>
    <w:p>
      <w:pPr>
        <w:pStyle w:val="ListBullet"/>
        <w:keepLines w:val="1"/>
        <w:keepNext w:val="1"/>
        <w:widowControl w:val="1"/>
      </w:pPr>
      <w:r>
        <w:t xml:space="preserve">Reducción_Tiempo_Parada (en horas)  </w:t>
      </w:r>
    </w:p>
    <w:p>
      <w:pPr>
        <w:pStyle w:val="ListBullet"/>
        <w:keepLines w:val="1"/>
        <w:widowControl w:val="1"/>
      </w:pPr>
      <w:r>
        <w:t xml:space="preserve">Coste_Hora_Negocio </w:t>
      </w:r>
    </w:p>
    <w:p>
      <w:r>
        <w:t>Ejemplo de fórmula de beneficios estimados:</w:t>
      </w:r>
    </w:p>
    <w:p>
      <w:r>
        <w:t>[</w:t>
      </w:r>
      <w:r/>
      <w:r>
        <w:br/>
        <w:t>Beneficio_Incidentes = (Incidentes_Graves_Antes - Incidentes_Graves_Después) \times Coste_Medio_Incidente</w:t>
      </w:r>
      <w:r/>
      <w:r>
        <w:br/>
        <w:t>]</w:t>
      </w:r>
    </w:p>
    <w:p>
      <w:r>
        <w:t>[</w:t>
      </w:r>
      <w:r/>
      <w:r>
        <w:br/>
        <w:t>Beneficio_Continuidad = Reducción_Tiempo_Parada \times Coste_Hora_Negocio</w:t>
      </w:r>
      <w:r/>
      <w:r>
        <w:br/>
        <w:t>]</w:t>
      </w:r>
    </w:p>
    <w:p>
      <w:r>
        <w:t>[</w:t>
      </w:r>
      <w:r/>
      <w:r>
        <w:br/>
        <w:t>Beneficio_Total = Beneficio_Incidentes + Beneficio_Continuidad</w:t>
      </w:r>
      <w:r/>
      <w:r>
        <w:br/>
        <w:t>]</w:t>
      </w:r>
    </w:p>
    <w:p>
      <w:r>
        <w:t>[</w:t>
      </w:r>
      <w:r/>
      <w:r>
        <w:br/>
        <w:t>ROI = \frac{Beneficio_Total}{Coste_Iniciativas_Seguridad}</w:t>
      </w:r>
      <w:r/>
      <w:r>
        <w:br/>
        <w:t>]</w:t>
      </w:r>
    </w:p>
    <w:p>
      <w:r>
        <w:t xml:space="preserve">Las variables pueden alimentarse de datos internos o de estimaciones complementarias, no solo de la encuesta. La encuesta ayuda a </w:t>
      </w:r>
      <w:r>
        <w:rPr>
          <w:b/>
        </w:rPr>
        <w:t>explicar</w:t>
      </w:r>
      <w:r>
        <w:t xml:space="preserve"> el porqué de una mejora (por ejemplo, mejor SOC, mejor continuidad, mejor gestión de riesgos).</w:t>
      </w:r>
    </w:p>
    <w:p>
      <w:pPr>
        <w:pStyle w:val="Heading2"/>
        <w:keepNext/>
        <w:keepLines/>
      </w:pPr>
      <w:r>
        <w:rPr>
          <w:color w:val="0066CC"/>
        </w:rPr>
        <w:t>6. Hoja “Resultados”</w:t>
      </w:r>
    </w:p>
    <w:p>
      <w:r>
        <w:t>Se recomiendan:</w:t>
      </w:r>
    </w:p>
    <w:p>
      <w:pPr>
        <w:pStyle w:val="ListBullet"/>
        <w:keepLines w:val="1"/>
        <w:keepNext w:val="1"/>
        <w:widowControl w:val="1"/>
      </w:pPr>
      <w:r>
        <w:t xml:space="preserve">Gráficos radar con los valores de (M_d) por dominio.  </w:t>
      </w:r>
    </w:p>
    <w:p>
      <w:pPr>
        <w:pStyle w:val="ListBullet"/>
        <w:keepLines w:val="1"/>
        <w:keepNext w:val="1"/>
        <w:widowControl w:val="1"/>
      </w:pPr>
      <w:r>
        <w:t xml:space="preserve">Histogramas del IGM por sector.  </w:t>
      </w:r>
    </w:p>
    <w:p>
      <w:pPr>
        <w:pStyle w:val="ListBullet"/>
        <w:keepLines w:val="1"/>
        <w:widowControl w:val="1"/>
      </w:pPr>
      <w:r>
        <w:t>Tablas de organización con: IGM, M_d por dominio, valor de ROI (si se dispone de datos).</w:t>
      </w:r>
    </w:p>
    <w:p>
      <w:r>
        <w:t>Esto permite elaborar informes ejecutivos de forma rápida y visual.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