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cálculo de IGM y ROI (GQM + PRAGMATIC)</w:t>
      </w:r>
    </w:p>
    <w:p>
      <w:r>
        <w:t>Versión orientada a implementar el modelo de indicadores COBIT integrados con GQM y PRAGMATIC.[web:29][web:24][web:61]</w:t>
      </w:r>
    </w:p>
    <w:p>
      <w:pPr>
        <w:pStyle w:val="Heading2"/>
        <w:keepNext/>
        <w:keepLines/>
      </w:pPr>
      <w:r>
        <w:rPr>
          <w:color w:val="0066CC"/>
        </w:rPr>
        <w:t>1. Estructura del libro Excel</w:t>
      </w:r>
    </w:p>
    <w:p>
      <w:r>
        <w:t>Se recomiendan las siguientes hojas:</w:t>
      </w:r>
    </w:p>
    <w:p>
      <w:pPr>
        <w:pStyle w:val="ListNumber"/>
        <w:keepLines w:val="1"/>
        <w:keepNext w:val="1"/>
        <w:widowControl w:val="1"/>
      </w:pPr>
      <w:r>
        <w:t xml:space="preserve">Encuesta – Respuestas codificadas de la encuesta COBIT.  </w:t>
      </w:r>
    </w:p>
    <w:p>
      <w:pPr>
        <w:pStyle w:val="ListNumber"/>
        <w:keepLines w:val="1"/>
        <w:keepNext w:val="1"/>
        <w:widowControl w:val="1"/>
      </w:pPr>
      <w:r>
        <w:t xml:space="preserve">Métricas – Definición de métricas (GQM) y codificación.  </w:t>
      </w:r>
    </w:p>
    <w:p>
      <w:pPr>
        <w:pStyle w:val="ListNumber"/>
        <w:keepLines w:val="1"/>
        <w:keepNext w:val="1"/>
        <w:widowControl w:val="1"/>
      </w:pPr>
      <w:r>
        <w:t xml:space="preserve">PRAGMATIC – Matriz de evaluación PRAGMATIC y scores.  </w:t>
      </w:r>
    </w:p>
    <w:p>
      <w:pPr>
        <w:pStyle w:val="ListNumber"/>
        <w:keepLines w:val="1"/>
        <w:keepNext w:val="1"/>
        <w:widowControl w:val="1"/>
      </w:pPr>
      <w:r>
        <w:t xml:space="preserve">Ponderaciones – Pesos por dominio y por métrica.  </w:t>
      </w:r>
    </w:p>
    <w:p>
      <w:pPr>
        <w:pStyle w:val="ListNumber"/>
        <w:keepLines w:val="1"/>
        <w:keepNext w:val="1"/>
        <w:widowControl w:val="1"/>
      </w:pPr>
      <w:r>
        <w:t xml:space="preserve">Cálculos_IGM – Cálculo de subíndices y del Índice Global de Madurez.  </w:t>
      </w:r>
    </w:p>
    <w:p>
      <w:pPr>
        <w:pStyle w:val="ListNumber"/>
        <w:keepLines w:val="1"/>
        <w:keepNext w:val="1"/>
        <w:widowControl w:val="1"/>
      </w:pPr>
      <w:r>
        <w:t xml:space="preserve">Cálculos_ROI – Estimación de ROI en ciberseguridad.  </w:t>
      </w:r>
    </w:p>
    <w:p>
      <w:pPr>
        <w:pStyle w:val="ListNumber"/>
        <w:keepLines w:val="1"/>
        <w:widowControl w:val="1"/>
      </w:pPr>
      <w:r>
        <w:t>Resultados – Cuadros de mando y gráficos.</w:t>
      </w:r>
    </w:p>
    <w:p>
      <w:pPr>
        <w:pStyle w:val="Heading2"/>
        <w:keepNext/>
        <w:keepLines/>
      </w:pPr>
      <w:r>
        <w:rPr>
          <w:color w:val="0066CC"/>
        </w:rPr>
        <w:t>2. Hoja “Encuesta”</w:t>
      </w:r>
    </w:p>
    <w:p>
      <w:r>
        <w:t>Columnas mínimas:</w:t>
      </w:r>
    </w:p>
    <w:p>
      <w:pPr>
        <w:pStyle w:val="ListBullet"/>
        <w:keepLines w:val="1"/>
        <w:keepNext w:val="1"/>
        <w:widowControl w:val="1"/>
      </w:pPr>
      <w:r>
        <w:t xml:space="preserve">ID_Org </w:t>
      </w:r>
    </w:p>
    <w:p>
      <w:pPr>
        <w:pStyle w:val="ListBullet"/>
        <w:keepLines w:val="1"/>
        <w:keepNext w:val="1"/>
        <w:widowControl w:val="1"/>
      </w:pPr>
      <w:r>
        <w:t xml:space="preserve">Nombre_Org </w:t>
      </w:r>
    </w:p>
    <w:p>
      <w:pPr>
        <w:pStyle w:val="ListBullet"/>
        <w:keepLines w:val="1"/>
        <w:keepNext w:val="1"/>
        <w:widowControl w:val="1"/>
      </w:pPr>
      <w:r>
        <w:t xml:space="preserve">Sector </w:t>
      </w:r>
    </w:p>
    <w:p>
      <w:pPr>
        <w:pStyle w:val="ListBullet"/>
        <w:keepLines w:val="1"/>
        <w:keepNext w:val="1"/>
        <w:widowControl w:val="1"/>
      </w:pPr>
      <w:r>
        <w:t xml:space="preserve">Tamaño </w:t>
      </w:r>
    </w:p>
    <w:p>
      <w:pPr>
        <w:pStyle w:val="ListBullet"/>
        <w:keepLines w:val="1"/>
        <w:keepNext w:val="1"/>
        <w:widowControl w:val="1"/>
      </w:pPr>
      <w:r>
        <w:t xml:space="preserve">Ámbito </w:t>
      </w:r>
    </w:p>
    <w:p>
      <w:pPr>
        <w:pStyle w:val="ListBullet"/>
        <w:keepLines w:val="1"/>
        <w:widowControl w:val="1"/>
      </w:pPr>
      <w:r>
        <w:t xml:space="preserve">P1_1_1, P1_1_2, … P8_3 </w:t>
      </w:r>
    </w:p>
    <w:p>
      <w:r>
        <w:t xml:space="preserve">Cada columna de pregunta contiene el </w:t>
      </w:r>
      <w:r>
        <w:rPr>
          <w:b/>
        </w:rPr>
        <w:t>valor numérico</w:t>
      </w:r>
      <w:r>
        <w:t xml:space="preserve"> de la respuesta (por ejemplo, 0–4, 0–5, porcentaje).</w:t>
      </w:r>
    </w:p>
    <w:p>
      <w:pPr>
        <w:pStyle w:val="Heading2"/>
        <w:keepNext/>
        <w:keepLines/>
      </w:pPr>
      <w:r>
        <w:rPr>
          <w:color w:val="0066CC"/>
        </w:rPr>
        <w:t>3. Hoja “Métricas”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 xml:space="preserve">Metrica_ID (M1.1, M1.2, etc.)  </w:t>
      </w:r>
    </w:p>
    <w:p>
      <w:pPr>
        <w:pStyle w:val="ListBullet"/>
        <w:keepLines w:val="1"/>
        <w:keepNext w:val="1"/>
        <w:widowControl w:val="1"/>
      </w:pPr>
      <w:r>
        <w:t xml:space="preserve">Descripción </w:t>
      </w:r>
    </w:p>
    <w:p>
      <w:pPr>
        <w:pStyle w:val="ListBullet"/>
        <w:keepLines w:val="1"/>
        <w:keepNext w:val="1"/>
        <w:widowControl w:val="1"/>
      </w:pPr>
      <w:r>
        <w:t xml:space="preserve">Pregunta_asociada (P1_1_1, etc.)  </w:t>
      </w:r>
    </w:p>
    <w:p>
      <w:pPr>
        <w:pStyle w:val="ListBullet"/>
        <w:keepLines w:val="1"/>
        <w:keepNext w:val="1"/>
        <w:widowControl w:val="1"/>
      </w:pPr>
      <w:r>
        <w:t xml:space="preserve">Dominio_COBIT (EDM03, APO12…)  </w:t>
      </w:r>
    </w:p>
    <w:p>
      <w:pPr>
        <w:pStyle w:val="ListBullet"/>
        <w:keepLines w:val="1"/>
        <w:keepNext w:val="1"/>
        <w:widowControl w:val="1"/>
      </w:pPr>
      <w:r>
        <w:t xml:space="preserve">Goal_GQM (G1–G7)  </w:t>
      </w:r>
    </w:p>
    <w:p>
      <w:pPr>
        <w:pStyle w:val="ListBullet"/>
        <w:keepLines w:val="1"/>
        <w:keepNext w:val="1"/>
        <w:widowControl w:val="1"/>
      </w:pPr>
      <w:r>
        <w:t xml:space="preserve">Escala_Min </w:t>
      </w:r>
    </w:p>
    <w:p>
      <w:pPr>
        <w:pStyle w:val="ListBullet"/>
        <w:keepLines w:val="1"/>
        <w:keepNext w:val="1"/>
        <w:widowControl w:val="1"/>
      </w:pPr>
      <w:r>
        <w:t xml:space="preserve">Escala_Max </w:t>
      </w:r>
    </w:p>
    <w:p>
      <w:pPr>
        <w:pStyle w:val="ListBullet"/>
        <w:keepLines w:val="1"/>
        <w:widowControl w:val="1"/>
      </w:pPr>
      <w:r>
        <w:t>Tipo (frecuencia, porcentaje, ordinal, continuo)</w:t>
      </w:r>
    </w:p>
    <w:p>
      <w:r>
        <w:t>Ejemplo de fila:</w:t>
      </w:r>
    </w:p>
    <w:p>
      <w:pPr>
        <w:pStyle w:val="ListBullet"/>
        <w:keepLines w:val="1"/>
        <w:widowControl w:val="1"/>
      </w:pPr>
      <w:r>
        <w:t>M1.1, “Nº reuniones/año con ciberseguridad en la agenda”, P1_1_1, EDM03, G1, 0, 12, frecuencia.</w:t>
      </w:r>
    </w:p>
    <w:p>
      <w:pPr>
        <w:pStyle w:val="Heading2"/>
        <w:keepNext/>
        <w:keepLines/>
      </w:pPr>
      <w:r>
        <w:rPr>
          <w:color w:val="0066CC"/>
        </w:rPr>
        <w:t>4. Hoja “PRAGMATIC”</w:t>
      </w:r>
    </w:p>
    <w:p>
      <w:r>
        <w:t>Columnas:</w:t>
      </w:r>
    </w:p>
    <w:p>
      <w:pPr>
        <w:pStyle w:val="ListBullet"/>
        <w:keepLines w:val="1"/>
        <w:keepNext w:val="1"/>
        <w:widowControl w:val="1"/>
      </w:pPr>
      <w:r>
        <w:t xml:space="preserve">Metrica_ID </w:t>
      </w:r>
    </w:p>
    <w:p>
      <w:pPr>
        <w:pStyle w:val="ListBullet"/>
        <w:keepLines w:val="1"/>
        <w:keepNext w:val="1"/>
        <w:widowControl w:val="1"/>
      </w:pPr>
      <w:r>
        <w:t xml:space="preserve">P_Predictivo </w:t>
      </w:r>
    </w:p>
    <w:p>
      <w:pPr>
        <w:pStyle w:val="ListBullet"/>
        <w:keepLines w:val="1"/>
        <w:keepNext w:val="1"/>
        <w:widowControl w:val="1"/>
      </w:pPr>
      <w:r>
        <w:t xml:space="preserve">R_Relevante </w:t>
      </w:r>
    </w:p>
    <w:p>
      <w:pPr>
        <w:pStyle w:val="ListBullet"/>
        <w:keepLines w:val="1"/>
        <w:keepNext w:val="1"/>
        <w:widowControl w:val="1"/>
      </w:pPr>
      <w:r>
        <w:t xml:space="preserve">A_Accionable </w:t>
      </w:r>
    </w:p>
    <w:p>
      <w:pPr>
        <w:pStyle w:val="ListBullet"/>
        <w:keepLines w:val="1"/>
        <w:keepNext w:val="1"/>
        <w:widowControl w:val="1"/>
      </w:pPr>
      <w:r>
        <w:t xml:space="preserve">G_Genuino </w:t>
      </w:r>
    </w:p>
    <w:p>
      <w:pPr>
        <w:pStyle w:val="ListBullet"/>
        <w:keepLines w:val="1"/>
        <w:keepNext w:val="1"/>
        <w:widowControl w:val="1"/>
      </w:pPr>
      <w:r>
        <w:t xml:space="preserve">M_Significativo </w:t>
      </w:r>
    </w:p>
    <w:p>
      <w:pPr>
        <w:pStyle w:val="ListBullet"/>
        <w:keepLines w:val="1"/>
        <w:keepNext w:val="1"/>
        <w:widowControl w:val="1"/>
      </w:pPr>
      <w:r>
        <w:t xml:space="preserve">A_Preciso </w:t>
      </w:r>
    </w:p>
    <w:p>
      <w:pPr>
        <w:pStyle w:val="ListBullet"/>
        <w:keepLines w:val="1"/>
        <w:keepNext w:val="1"/>
        <w:widowControl w:val="1"/>
      </w:pPr>
      <w:r>
        <w:t xml:space="preserve">T_Oportuno </w:t>
      </w:r>
    </w:p>
    <w:p>
      <w:pPr>
        <w:pStyle w:val="ListBullet"/>
        <w:keepLines w:val="1"/>
        <w:keepNext w:val="1"/>
        <w:widowControl w:val="1"/>
      </w:pPr>
      <w:r>
        <w:t xml:space="preserve">I_Independiente </w:t>
      </w:r>
    </w:p>
    <w:p>
      <w:pPr>
        <w:pStyle w:val="ListBullet"/>
        <w:keepLines w:val="1"/>
        <w:keepNext w:val="1"/>
        <w:widowControl w:val="1"/>
      </w:pPr>
      <w:r>
        <w:t xml:space="preserve">C_Rentable </w:t>
      </w:r>
    </w:p>
    <w:p>
      <w:pPr>
        <w:pStyle w:val="ListBullet"/>
        <w:keepLines w:val="1"/>
        <w:widowControl w:val="1"/>
      </w:pPr>
      <w:r>
        <w:t>Score_Total (por ejemplo, suma de las nueve anteriores)</w:t>
      </w:r>
    </w:p>
    <w:p>
      <w:r>
        <w:t xml:space="preserve">Se pueden importar los valores iniciales de la </w:t>
      </w:r>
      <w:r>
        <w:rPr>
          <w:b/>
        </w:rPr>
        <w:t>Matriz de Evaluación PRAGMATIC</w:t>
      </w:r>
      <w:r>
        <w:t xml:space="preserve"> y ajustarlos según el consenso de expertos.</w:t>
      </w:r>
    </w:p>
    <w:p>
      <w:pPr>
        <w:pStyle w:val="Heading2"/>
        <w:keepNext/>
        <w:keepLines/>
      </w:pPr>
      <w:r>
        <w:rPr>
          <w:color w:val="0066CC"/>
        </w:rPr>
        <w:t>5. Hoja “Ponderaciones”</w:t>
      </w:r>
    </w:p>
    <w:p>
      <w:r>
        <w:t>Columnas:</w:t>
      </w:r>
    </w:p>
    <w:p>
      <w:pPr>
        <w:pStyle w:val="ListBullet"/>
        <w:keepLines w:val="1"/>
        <w:keepNext w:val="1"/>
        <w:widowControl w:val="1"/>
      </w:pPr>
      <w:r>
        <w:t xml:space="preserve">Dominio (Gobierno, Riesgo, Seguridad, Cambios, Servicios, Continuidad, Monitorización)  </w:t>
      </w:r>
    </w:p>
    <w:p>
      <w:pPr>
        <w:pStyle w:val="ListBullet"/>
        <w:keepLines w:val="1"/>
        <w:keepNext w:val="1"/>
        <w:widowControl w:val="1"/>
      </w:pPr>
      <w:r>
        <w:t xml:space="preserve">Peso_Dominio (por ejemplo, 1 por defecto; se puede dar más peso a dominios críticos)  </w:t>
      </w:r>
    </w:p>
    <w:p>
      <w:pPr>
        <w:pStyle w:val="ListBullet"/>
        <w:keepLines w:val="1"/>
        <w:keepNext w:val="1"/>
        <w:widowControl w:val="1"/>
      </w:pPr>
      <w:r>
        <w:t xml:space="preserve">Metrica_ID </w:t>
      </w:r>
    </w:p>
    <w:p>
      <w:pPr>
        <w:pStyle w:val="ListBullet"/>
        <w:keepLines w:val="1"/>
        <w:keepNext w:val="1"/>
        <w:widowControl w:val="1"/>
      </w:pPr>
      <w:r>
        <w:t xml:space="preserve">Peso_Metrica (peso relativo dentro del dominio)  </w:t>
      </w:r>
    </w:p>
    <w:p>
      <w:pPr>
        <w:pStyle w:val="ListBullet"/>
        <w:keepLines w:val="1"/>
        <w:widowControl w:val="1"/>
      </w:pPr>
      <w:r>
        <w:t>Score_PRAGMATIC (referencia desde la hoja PRAGMATIC)</w:t>
      </w:r>
    </w:p>
    <w:p>
      <w:r>
        <w:t xml:space="preserve">Se puede definir un </w:t>
      </w:r>
      <w:r>
        <w:rPr>
          <w:b/>
        </w:rPr>
        <w:t>Peso_Efectivo</w:t>
      </w:r>
      <w:r>
        <w:t xml:space="preserve"> como:</w:t>
      </w:r>
    </w:p>
    <w:p>
      <w:r>
        <w:t>[</w:t>
      </w:r>
      <w:r/>
      <w:r>
        <w:br/>
        <w:t>Peso_Efectivo = Peso_Metrica \times \frac{Score_PRAGMATIC}{Score_Máx}</w:t>
      </w:r>
      <w:r/>
      <w:r>
        <w:br/>
        <w:t>]</w:t>
      </w:r>
    </w:p>
    <w:p>
      <w:r>
        <w:t>para que las métricas con mejor calidad PRAGMATIC pesen más en el IGM.</w:t>
      </w:r>
    </w:p>
    <w:p>
      <w:pPr>
        <w:pStyle w:val="Heading2"/>
        <w:keepNext/>
        <w:keepLines/>
      </w:pPr>
      <w:r>
        <w:rPr>
          <w:color w:val="0066CC"/>
        </w:rPr>
        <w:t>6. Hoja “Cálculos_IGM”</w:t>
      </w:r>
    </w:p>
    <w:p>
      <w:pPr>
        <w:pStyle w:val="Heading3"/>
        <w:keepNext/>
        <w:keepLines/>
      </w:pPr>
      <w:r>
        <w:t>6.1. Normalización de métricas</w:t>
      </w:r>
    </w:p>
    <w:p>
      <w:r>
        <w:t>Para cada organización y métrica, calcular:</w:t>
      </w:r>
    </w:p>
    <w:p>
      <w:pPr>
        <w:pStyle w:val="ListBullet"/>
        <w:keepLines w:val="1"/>
        <w:widowControl w:val="1"/>
      </w:pPr>
      <w:r>
        <w:t>Valor_Norm = (Valor_Respuesta – Escala_Min) / (Escala_Max – Escala_Min)</w:t>
      </w:r>
    </w:p>
    <w:p>
      <w:r>
        <w:t>clampado a [0,1] en caso de valores extremos.</w:t>
      </w:r>
    </w:p>
    <w:p>
      <w:pPr>
        <w:pStyle w:val="Heading3"/>
        <w:keepNext/>
        <w:keepLines/>
      </w:pPr>
      <w:r>
        <w:t>6.2. Puntuación por dominio</w:t>
      </w:r>
    </w:p>
    <w:p>
      <w:r>
        <w:t>Para cada dominio (d):</w:t>
      </w:r>
    </w:p>
    <w:p>
      <w:r>
        <w:t>[</w:t>
      </w:r>
      <w:r/>
      <w:r>
        <w:br/>
        <w:t>M_d = \frac{\sum (Valor_Norm_{m} \cdot Peso_Efectivo_{m})}{\sum Peso_Efectivo_{m}} \times 5</w:t>
      </w:r>
      <w:r/>
      <w:r>
        <w:br/>
        <w:t>]</w:t>
      </w:r>
    </w:p>
    <w:p>
      <w:r>
        <w:t>donde (m) recorre las métricas del dominio (d).</w:t>
      </w:r>
    </w:p>
    <w:p>
      <w:pPr>
        <w:pStyle w:val="Heading3"/>
        <w:keepNext/>
        <w:keepLines/>
      </w:pPr>
      <w:r>
        <w:t>6.3. Índice Global de Madurez (IGM)</w:t>
      </w:r>
    </w:p>
    <w:p>
      <w:r>
        <w:t>[</w:t>
      </w:r>
      <w:r/>
      <w:r>
        <w:br/>
        <w:t>IGM = \frac{\sum (M_d \cdot Peso_Dominio)}{\sum Peso_Dominio}</w:t>
      </w:r>
      <w:r/>
      <w:r>
        <w:br/>
        <w:t>]</w:t>
      </w:r>
    </w:p>
    <w:p>
      <w:r>
        <w:t>Se puede expresar en:</w:t>
      </w:r>
    </w:p>
    <w:p>
      <w:pPr>
        <w:pStyle w:val="ListBullet"/>
        <w:keepLines w:val="1"/>
        <w:keepNext w:val="1"/>
        <w:widowControl w:val="1"/>
      </w:pPr>
      <w:r>
        <w:t xml:space="preserve">Escala 0–5 directamente, o  </w:t>
      </w:r>
    </w:p>
    <w:p>
      <w:pPr>
        <w:pStyle w:val="ListBullet"/>
        <w:keepLines w:val="1"/>
        <w:widowControl w:val="1"/>
      </w:pPr>
      <w:r>
        <w:t>Escala 0–100 (multiplicando por 20).</w:t>
      </w:r>
    </w:p>
    <w:p>
      <w:pPr>
        <w:pStyle w:val="Heading2"/>
        <w:keepNext/>
        <w:keepLines/>
      </w:pPr>
      <w:r>
        <w:rPr>
          <w:color w:val="0066CC"/>
        </w:rPr>
        <w:t>7. Hoja “Cálculos_ROI”</w:t>
      </w:r>
    </w:p>
    <w:p>
      <w:r>
        <w:t>Variables por organización (pueden provenir de la encuesta extendida o de datos internos):</w:t>
      </w:r>
    </w:p>
    <w:p>
      <w:pPr>
        <w:pStyle w:val="ListBullet"/>
        <w:keepLines w:val="1"/>
        <w:keepNext w:val="1"/>
        <w:widowControl w:val="1"/>
      </w:pPr>
      <w:r>
        <w:t xml:space="preserve">Incidentes_Graves_Antes </w:t>
      </w:r>
    </w:p>
    <w:p>
      <w:pPr>
        <w:pStyle w:val="ListBullet"/>
        <w:keepLines w:val="1"/>
        <w:keepNext w:val="1"/>
        <w:widowControl w:val="1"/>
      </w:pPr>
      <w:r>
        <w:t xml:space="preserve">Incidentes_Graves_Después </w:t>
      </w:r>
    </w:p>
    <w:p>
      <w:pPr>
        <w:pStyle w:val="ListBullet"/>
        <w:keepLines w:val="1"/>
        <w:keepNext w:val="1"/>
        <w:widowControl w:val="1"/>
      </w:pPr>
      <w:r>
        <w:t xml:space="preserve">Coste_Medio_Incidente </w:t>
      </w:r>
    </w:p>
    <w:p>
      <w:pPr>
        <w:pStyle w:val="ListBullet"/>
        <w:keepLines w:val="1"/>
        <w:keepNext w:val="1"/>
        <w:widowControl w:val="1"/>
      </w:pPr>
      <w:r>
        <w:t xml:space="preserve">Horas_Parada_Antes </w:t>
      </w:r>
    </w:p>
    <w:p>
      <w:pPr>
        <w:pStyle w:val="ListBullet"/>
        <w:keepLines w:val="1"/>
        <w:keepNext w:val="1"/>
        <w:widowControl w:val="1"/>
      </w:pPr>
      <w:r>
        <w:t xml:space="preserve">Horas_Parada_Después </w:t>
      </w:r>
    </w:p>
    <w:p>
      <w:pPr>
        <w:pStyle w:val="ListBullet"/>
        <w:keepLines w:val="1"/>
        <w:keepNext w:val="1"/>
        <w:widowControl w:val="1"/>
      </w:pPr>
      <w:r>
        <w:t xml:space="preserve">Coste_Hora_Negocio </w:t>
      </w:r>
    </w:p>
    <w:p>
      <w:pPr>
        <w:pStyle w:val="ListBullet"/>
        <w:keepLines w:val="1"/>
        <w:widowControl w:val="1"/>
      </w:pPr>
      <w:r>
        <w:t>Coste_Iniciativas_Seguridad (por periodo analizado)</w:t>
      </w:r>
    </w:p>
    <w:p>
      <w:r>
        <w:t>Fórmulas:</w:t>
      </w:r>
    </w:p>
    <w:p>
      <w:r>
        <w:t>[</w:t>
      </w:r>
      <w:r/>
      <w:r>
        <w:br/>
        <w:t>Beneficio_Incidentes = (Incidentes_Graves_Antes - Incidentes_Graves_Después) \times Coste_Medio_Incidente</w:t>
      </w:r>
      <w:r/>
      <w:r>
        <w:br/>
        <w:t>]</w:t>
      </w:r>
    </w:p>
    <w:p>
      <w:r>
        <w:t>[</w:t>
      </w:r>
      <w:r/>
      <w:r>
        <w:br/>
        <w:t>Beneficio_Continuidad = (Horas_Parada_Antes - Horas_Parada_Después) \times Coste_Hora_Negocio</w:t>
      </w:r>
      <w:r/>
      <w:r>
        <w:br/>
        <w:t>]</w:t>
      </w:r>
    </w:p>
    <w:p>
      <w:r>
        <w:t>[</w:t>
      </w:r>
      <w:r/>
      <w:r>
        <w:br/>
        <w:t>Beneficio_Total = Beneficio_Incidentes + Beneficio_Continuidad</w:t>
      </w:r>
      <w:r/>
      <w:r>
        <w:br/>
        <w:t>]</w:t>
      </w:r>
    </w:p>
    <w:p>
      <w:r>
        <w:t>[</w:t>
      </w:r>
      <w:r/>
      <w:r>
        <w:br/>
        <w:t>ROI = \frac{Beneficio_Total}{Coste_Iniciativas_Seguridad}</w:t>
      </w:r>
      <w:r/>
      <w:r>
        <w:br/>
        <w:t>]</w:t>
      </w:r>
    </w:p>
    <w:p>
      <w:r>
        <w:t xml:space="preserve">La mejora en métricas como MTTD, MTTR, % vulnerabilidades en plazo, pruebas de BCP/DRP, etc., sirve para </w:t>
      </w:r>
      <w:r>
        <w:rPr>
          <w:b/>
        </w:rPr>
        <w:t>explicar</w:t>
      </w:r>
      <w:r>
        <w:t xml:space="preserve"> la mejora de resultados.</w:t>
      </w:r>
    </w:p>
    <w:p>
      <w:pPr>
        <w:pStyle w:val="Heading2"/>
        <w:keepNext/>
        <w:keepLines/>
      </w:pPr>
      <w:r>
        <w:rPr>
          <w:color w:val="0066CC"/>
        </w:rPr>
        <w:t>8. Hoja “Resultados”</w:t>
      </w:r>
    </w:p>
    <w:p>
      <w:r>
        <w:t>Elementos recomendados:</w:t>
      </w:r>
    </w:p>
    <w:p>
      <w:pPr>
        <w:pStyle w:val="ListBullet"/>
        <w:keepLines w:val="1"/>
        <w:keepNext w:val="1"/>
        <w:widowControl w:val="1"/>
      </w:pPr>
      <w:r>
        <w:t xml:space="preserve">Tabla por organización: IGM, M_d por dominio, Score_PRAGMATIC medio de métricas usadas, ROI (si se dispone).  </w:t>
      </w:r>
    </w:p>
    <w:p>
      <w:pPr>
        <w:pStyle w:val="ListBullet"/>
        <w:keepLines w:val="1"/>
        <w:keepNext w:val="1"/>
        <w:widowControl w:val="1"/>
      </w:pPr>
      <w:r>
        <w:br/>
        <w:t>Gráficos:</w:t>
        <w:br/>
      </w:r>
    </w:p>
    <w:p>
      <w:pPr>
        <w:pStyle w:val="ListBullet"/>
        <w:keepLines w:val="1"/>
        <w:keepNext w:val="1"/>
        <w:widowControl w:val="1"/>
      </w:pPr>
      <w:r>
        <w:br/>
        <w:t xml:space="preserve">Radar de M_d por dominio.  </w:t>
        <w:br/>
      </w:r>
    </w:p>
    <w:p>
      <w:pPr>
        <w:pStyle w:val="ListBullet"/>
        <w:keepLines w:val="1"/>
        <w:keepNext w:val="1"/>
        <w:widowControl w:val="1"/>
      </w:pPr>
      <w:r>
        <w:t xml:space="preserve">Histogramas del IGM por sector.  </w:t>
      </w:r>
    </w:p>
    <w:p>
      <w:pPr>
        <w:pStyle w:val="ListBullet"/>
        <w:keepLines w:val="1"/>
        <w:widowControl w:val="1"/>
      </w:pPr>
      <w:r>
        <w:t>Dispersión IGM vs ROI (cuando sea posible).</w:t>
      </w:r>
    </w:p>
    <w:p>
      <w:r>
        <w:t>Gráficos:</w:t>
      </w:r>
    </w:p>
    <w:p>
      <w:r>
        <w:t xml:space="preserve">Radar de M_d por dominio.  </w:t>
      </w:r>
    </w:p>
    <w:p>
      <w:r>
        <w:t>Esta hoja se alimenta directamente del resto y está pensada para exportar gráficos a informes.</w:t>
      </w:r>
    </w:p>
    <w:p>
      <w:r>
        <w:rPr>
          <w:i/>
        </w:rPr>
        <w:t>Fin de la plantilla.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