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Resultados GQM + PRAGMATIC sobre indicadores COBIT</w:t>
      </w:r>
    </w:p>
    <w:p>
      <w:r>
        <w:t>Versión para PowerPoint u otro formato de presentación ejecutiva.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Informe Ejecutivo de Ciberseguridad (COBIT 2019, GQM + PRAGMATIC) </w:t>
      </w:r>
    </w:p>
    <w:p>
      <w:pPr>
        <w:pStyle w:val="ListBullet"/>
        <w:keepLines w:val="1"/>
        <w:keepNext w:val="1"/>
        <w:widowControl w:val="1"/>
      </w:pPr>
      <w:r>
        <w:t xml:space="preserve">Subtítulo: Resultados y madurez de [organización/sector/país].  </w:t>
      </w:r>
    </w:p>
    <w:p>
      <w:pPr>
        <w:pStyle w:val="ListBullet"/>
        <w:keepLines w:val="1"/>
        <w:widowControl w:val="1"/>
      </w:pPr>
      <w:r>
        <w:t>Fecha, versión y logos.</w:t>
      </w:r>
    </w:p>
    <w:p>
      <w:pPr>
        <w:pStyle w:val="Heading2"/>
        <w:keepNext/>
        <w:keepLines/>
      </w:pPr>
      <w:r>
        <w:rPr>
          <w:color w:val="0066CC"/>
        </w:rPr>
        <w:t>Diapositiva 2 – Propósito del informe</w:t>
      </w:r>
    </w:p>
    <w:p>
      <w:pPr>
        <w:pStyle w:val="ListBullet"/>
        <w:keepLines w:val="1"/>
        <w:keepNext w:val="1"/>
        <w:widowControl w:val="1"/>
      </w:pPr>
      <w:r>
        <w:t xml:space="preserve">Explicar:  </w:t>
      </w:r>
    </w:p>
    <w:p>
      <w:pPr>
        <w:pStyle w:val="ListBullet"/>
        <w:keepLines w:val="1"/>
        <w:keepNext w:val="1"/>
        <w:widowControl w:val="1"/>
      </w:pPr>
      <w:r>
        <w:t xml:space="preserve">Objetivo del ejercicio (diagnóstico de madurez y priorización).  </w:t>
      </w:r>
    </w:p>
    <w:p>
      <w:pPr>
        <w:pStyle w:val="ListBullet"/>
        <w:keepLines w:val="1"/>
        <w:keepNext w:val="1"/>
        <w:widowControl w:val="1"/>
      </w:pPr>
      <w:r>
        <w:t xml:space="preserve">Marcos subyacentes: COBIT 2019, GQM, PRAGMATIC, ISO 27001, NIST CSF.[web:18][web:53][web:61][web:24]  </w:t>
      </w:r>
    </w:p>
    <w:p>
      <w:pPr>
        <w:pStyle w:val="ListBullet"/>
        <w:keepLines w:val="1"/>
        <w:widowControl w:val="1"/>
      </w:pPr>
      <w:r>
        <w:t>Uso previsto de los resultados (estrategia, inversiones, cumplimiento).</w:t>
      </w:r>
    </w:p>
    <w:p>
      <w:pPr>
        <w:pStyle w:val="Heading2"/>
        <w:keepNext/>
        <w:keepLines/>
      </w:pPr>
      <w:r>
        <w:rPr>
          <w:color w:val="0066CC"/>
        </w:rPr>
        <w:t>Diapositiva 3 – Metodología en dos capas</w:t>
      </w:r>
    </w:p>
    <w:p>
      <w:pPr>
        <w:pStyle w:val="ListBullet"/>
        <w:keepLines w:val="1"/>
        <w:keepNext w:val="1"/>
        <w:widowControl w:val="1"/>
      </w:pPr>
      <w:r>
        <w:t xml:space="preserve">Capa 1 – COBIT 2019: dominios EDM, APO, BAI, DSS, MEA.  </w:t>
      </w:r>
    </w:p>
    <w:p>
      <w:pPr>
        <w:pStyle w:val="ListBullet"/>
        <w:keepLines w:val="1"/>
        <w:keepNext w:val="1"/>
        <w:widowControl w:val="1"/>
      </w:pPr>
      <w:r>
        <w:t xml:space="preserve">Capa 2 – GQM + PRAGMATIC:  </w:t>
      </w:r>
    </w:p>
    <w:p>
      <w:pPr>
        <w:pStyle w:val="ListBullet"/>
        <w:keepLines w:val="1"/>
        <w:keepNext w:val="1"/>
        <w:widowControl w:val="1"/>
      </w:pPr>
      <w:r>
        <w:t xml:space="preserve">GQM: Goals, Questions, Metrics.  </w:t>
      </w:r>
    </w:p>
    <w:p>
      <w:pPr>
        <w:pStyle w:val="ListBullet"/>
        <w:keepLines w:val="1"/>
        <w:keepNext w:val="1"/>
        <w:widowControl w:val="1"/>
      </w:pPr>
      <w:r>
        <w:t xml:space="preserve">PRAGMATIC: selección y puntuación de métricas según 9 criterios.  </w:t>
      </w:r>
    </w:p>
    <w:p>
      <w:pPr>
        <w:pStyle w:val="ListBullet"/>
        <w:keepLines w:val="1"/>
        <w:widowControl w:val="1"/>
      </w:pPr>
      <w:r>
        <w:t>Representar el flujo: Objetivos nacionales → Preguntas → Métricas → IGM/ROI.</w:t>
      </w:r>
    </w:p>
    <w:p>
      <w:pPr>
        <w:pStyle w:val="Heading2"/>
        <w:keepNext/>
        <w:keepLines/>
      </w:pPr>
      <w:r>
        <w:rPr>
          <w:color w:val="0066CC"/>
        </w:rPr>
        <w:t>Diapositiva 4 – Índice Global de Madurez (IGM)</w:t>
      </w:r>
    </w:p>
    <w:p>
      <w:pPr>
        <w:pStyle w:val="ListBullet"/>
        <w:keepLines w:val="1"/>
        <w:keepNext w:val="1"/>
        <w:widowControl w:val="1"/>
      </w:pPr>
      <w:r>
        <w:t xml:space="preserve">Gráfico principal:  </w:t>
      </w:r>
    </w:p>
    <w:p>
      <w:pPr>
        <w:pStyle w:val="ListBullet"/>
        <w:keepLines w:val="1"/>
        <w:keepNext w:val="1"/>
        <w:widowControl w:val="1"/>
      </w:pPr>
      <w:r>
        <w:t xml:space="preserve">IGM medio (0‑5 o 0‑100).  </w:t>
      </w:r>
    </w:p>
    <w:p>
      <w:pPr>
        <w:pStyle w:val="ListBullet"/>
        <w:keepLines w:val="1"/>
        <w:keepNext w:val="1"/>
        <w:widowControl w:val="1"/>
      </w:pPr>
      <w:r>
        <w:t xml:space="preserve">Elemente clave:  </w:t>
      </w:r>
    </w:p>
    <w:p>
      <w:pPr>
        <w:pStyle w:val="ListBullet"/>
        <w:keepLines w:val="1"/>
        <w:keepNext w:val="1"/>
        <w:widowControl w:val="1"/>
      </w:pPr>
      <w:r>
        <w:t xml:space="preserve">Breve explicación de qué significa cada rango de valores.  </w:t>
      </w:r>
    </w:p>
    <w:p>
      <w:pPr>
        <w:pStyle w:val="ListBullet"/>
        <w:keepLines w:val="1"/>
        <w:widowControl w:val="1"/>
      </w:pPr>
      <w:r>
        <w:t>Comparativa con objetivo deseado o benchmark (sector/país).</w:t>
      </w:r>
    </w:p>
    <w:p>
      <w:pPr>
        <w:pStyle w:val="Heading2"/>
        <w:keepNext/>
        <w:keepLines/>
      </w:pPr>
      <w:r>
        <w:rPr>
          <w:color w:val="0066CC"/>
        </w:rPr>
        <w:t>Diapositiva 5 – Perfil por dominios COBIT</w:t>
      </w:r>
    </w:p>
    <w:p>
      <w:pPr>
        <w:pStyle w:val="ListBullet"/>
        <w:keepLines w:val="1"/>
        <w:keepNext w:val="1"/>
        <w:widowControl w:val="1"/>
      </w:pPr>
      <w:r>
        <w:t xml:space="preserve">Gráfico radar con M_d (0‑5) para: Gobierno, Riesgo, Seguridad, Cambios, Servicios, Continuidad, Monitorización.  </w:t>
      </w:r>
    </w:p>
    <w:p>
      <w:pPr>
        <w:pStyle w:val="ListBullet"/>
        <w:keepLines w:val="1"/>
        <w:keepNext w:val="1"/>
        <w:widowControl w:val="1"/>
      </w:pPr>
      <w:r>
        <w:t xml:space="preserve">Comentario ejecutivo:  </w:t>
      </w:r>
    </w:p>
    <w:p>
      <w:pPr>
        <w:pStyle w:val="ListBullet"/>
        <w:keepLines w:val="1"/>
        <w:keepNext w:val="1"/>
        <w:widowControl w:val="1"/>
      </w:pPr>
      <w:r>
        <w:t xml:space="preserve">Dominios fuertes.  </w:t>
      </w:r>
    </w:p>
    <w:p>
      <w:pPr>
        <w:pStyle w:val="ListBullet"/>
        <w:keepLines w:val="1"/>
        <w:keepNext w:val="1"/>
        <w:widowControl w:val="1"/>
      </w:pPr>
      <w:r>
        <w:t xml:space="preserve">Dominios débiles.  </w:t>
      </w:r>
    </w:p>
    <w:p>
      <w:pPr>
        <w:pStyle w:val="ListBullet"/>
        <w:keepLines w:val="1"/>
        <w:widowControl w:val="1"/>
      </w:pPr>
      <w:r>
        <w:t>Dominios “descompensados” (p.ej. gobierno alto, operación baja).</w:t>
      </w:r>
    </w:p>
    <w:p>
      <w:pPr>
        <w:pStyle w:val="Heading2"/>
        <w:keepNext/>
        <w:keepLines/>
      </w:pPr>
      <w:r>
        <w:rPr>
          <w:color w:val="0066CC"/>
        </w:rPr>
        <w:t>Diapositiva 6 – Calidad de las métricas (PRAGMATIC)</w:t>
      </w:r>
    </w:p>
    <w:p>
      <w:pPr>
        <w:pStyle w:val="ListBullet"/>
        <w:keepLines w:val="1"/>
        <w:keepNext w:val="1"/>
        <w:widowControl w:val="1"/>
      </w:pPr>
      <w:r>
        <w:t xml:space="preserve">Tabla o gráfico resumen:  </w:t>
      </w:r>
    </w:p>
    <w:p>
      <w:pPr>
        <w:pStyle w:val="ListBullet"/>
        <w:keepLines w:val="1"/>
        <w:keepNext w:val="1"/>
        <w:widowControl w:val="1"/>
      </w:pPr>
      <w:r>
        <w:t xml:space="preserve">Score medio PRAGMATIC de las métricas utilizadas.  </w:t>
      </w:r>
    </w:p>
    <w:p>
      <w:pPr>
        <w:pStyle w:val="ListBullet"/>
        <w:keepLines w:val="1"/>
        <w:keepNext w:val="1"/>
        <w:widowControl w:val="1"/>
      </w:pPr>
      <w:r>
        <w:t xml:space="preserve">Métricas estrella (score alto) y métricas problemáticas (score bajo).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“No solo medimos, sino que medimos bien (o sabemos dónde mejorar nuestras métricas).”</w:t>
      </w:r>
    </w:p>
    <w:p>
      <w:pPr>
        <w:pStyle w:val="Heading2"/>
        <w:keepNext/>
        <w:keepLines/>
      </w:pPr>
      <w:r>
        <w:rPr>
          <w:color w:val="0066CC"/>
        </w:rPr>
        <w:t>Diapositiva 7 – Gobierno y gestión de riesgos (G1, G2)</w:t>
      </w:r>
    </w:p>
    <w:p>
      <w:pPr>
        <w:pStyle w:val="ListBullet"/>
        <w:keepLines w:val="1"/>
        <w:keepNext w:val="1"/>
        <w:widowControl w:val="1"/>
      </w:pPr>
      <w:r>
        <w:t xml:space="preserve">2‑3 métricas clave:  </w:t>
      </w:r>
    </w:p>
    <w:p>
      <w:pPr>
        <w:pStyle w:val="ListBullet"/>
        <w:keepLines w:val="1"/>
        <w:keepNext w:val="1"/>
        <w:widowControl w:val="1"/>
      </w:pPr>
      <w:r>
        <w:t xml:space="preserve">M1.1 reuniones con agenda de ciberseguridad.  </w:t>
      </w:r>
    </w:p>
    <w:p>
      <w:pPr>
        <w:pStyle w:val="ListBullet"/>
        <w:keepLines w:val="1"/>
        <w:keepNext w:val="1"/>
        <w:widowControl w:val="1"/>
      </w:pPr>
      <w:r>
        <w:t xml:space="preserve">M2.1 madurez del proceso de gestión de riesgos.  </w:t>
      </w:r>
    </w:p>
    <w:p>
      <w:pPr>
        <w:pStyle w:val="ListBullet"/>
        <w:keepLines w:val="1"/>
        <w:keepNext w:val="1"/>
        <w:widowControl w:val="1"/>
      </w:pPr>
      <w:r>
        <w:t xml:space="preserve">M2.2 cobertura de activos con análisis de riesgos.  </w:t>
      </w:r>
    </w:p>
    <w:p>
      <w:pPr>
        <w:pStyle w:val="ListBullet"/>
        <w:keepLines w:val="1"/>
        <w:keepNext w:val="1"/>
        <w:widowControl w:val="1"/>
      </w:pPr>
      <w:r>
        <w:t xml:space="preserve">Conclusión:  </w:t>
      </w:r>
    </w:p>
    <w:p>
      <w:pPr>
        <w:pStyle w:val="ListBullet"/>
        <w:keepLines w:val="1"/>
        <w:widowControl w:val="1"/>
      </w:pPr>
      <w:r>
        <w:t>Nivel de integración de la ciberseguridad en el gobierno corporativo.</w:t>
      </w:r>
    </w:p>
    <w:p>
      <w:pPr>
        <w:pStyle w:val="Heading2"/>
        <w:keepNext/>
        <w:keepLines/>
      </w:pPr>
      <w:r>
        <w:rPr>
          <w:color w:val="0066CC"/>
        </w:rPr>
        <w:t>Diapositiva 8 – Seguridad gestionada / SGSI (G3)</w:t>
      </w:r>
    </w:p>
    <w:p>
      <w:pPr>
        <w:pStyle w:val="ListBullet"/>
        <w:keepLines w:val="1"/>
        <w:keepNext w:val="1"/>
        <w:widowControl w:val="1"/>
      </w:pPr>
      <w:r>
        <w:t xml:space="preserve">Métricas:  </w:t>
      </w:r>
    </w:p>
    <w:p>
      <w:pPr>
        <w:pStyle w:val="ListBullet"/>
        <w:keepLines w:val="1"/>
        <w:keepNext w:val="1"/>
        <w:widowControl w:val="1"/>
      </w:pPr>
      <w:r>
        <w:t xml:space="preserve">M3.1 madurez SGSI.  </w:t>
      </w:r>
    </w:p>
    <w:p>
      <w:pPr>
        <w:pStyle w:val="ListBullet"/>
        <w:keepLines w:val="1"/>
        <w:keepNext w:val="1"/>
        <w:widowControl w:val="1"/>
      </w:pPr>
      <w:r>
        <w:t xml:space="preserve">M3.2 alineamiento/certificación ISO 27001.  </w:t>
      </w:r>
    </w:p>
    <w:p>
      <w:pPr>
        <w:pStyle w:val="ListBullet"/>
        <w:keepLines w:val="1"/>
        <w:keepNext w:val="1"/>
        <w:widowControl w:val="1"/>
      </w:pPr>
      <w:r>
        <w:t xml:space="preserve">M3.3 peso presupuestario de seguridad.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“¿La seguridad es una función sólida o una nota a pie de página en TI?”</w:t>
      </w:r>
    </w:p>
    <w:p>
      <w:pPr>
        <w:pStyle w:val="Heading2"/>
        <w:keepNext/>
        <w:keepLines/>
      </w:pPr>
      <w:r>
        <w:rPr>
          <w:color w:val="0066CC"/>
        </w:rPr>
        <w:t>Diapositiva 9 – Cambios y servicios de seguridad (G4, G5)</w:t>
      </w:r>
    </w:p>
    <w:p>
      <w:pPr>
        <w:pStyle w:val="ListBullet"/>
        <w:keepLines w:val="1"/>
        <w:keepNext w:val="1"/>
        <w:widowControl w:val="1"/>
      </w:pPr>
      <w:r>
        <w:t xml:space="preserve">Métricas:  </w:t>
      </w:r>
    </w:p>
    <w:p>
      <w:pPr>
        <w:pStyle w:val="ListBullet"/>
        <w:keepLines w:val="1"/>
        <w:keepNext w:val="1"/>
        <w:widowControl w:val="1"/>
      </w:pPr>
      <w:r>
        <w:t xml:space="preserve">M4.1 % cambios con evaluación de seguridad.  </w:t>
      </w:r>
    </w:p>
    <w:p>
      <w:pPr>
        <w:pStyle w:val="ListBullet"/>
        <w:keepLines w:val="1"/>
        <w:keepNext w:val="1"/>
        <w:widowControl w:val="1"/>
      </w:pPr>
      <w:r>
        <w:t xml:space="preserve">M5.1 madurez SOC.  </w:t>
      </w:r>
    </w:p>
    <w:p>
      <w:pPr>
        <w:pStyle w:val="ListBullet"/>
        <w:keepLines w:val="1"/>
        <w:keepNext w:val="1"/>
        <w:widowControl w:val="1"/>
      </w:pPr>
      <w:r>
        <w:t xml:space="preserve">M5.2 MTTD/MTTR.  </w:t>
      </w:r>
    </w:p>
    <w:p>
      <w:pPr>
        <w:pStyle w:val="ListBullet"/>
        <w:keepLines w:val="1"/>
        <w:keepNext w:val="1"/>
        <w:widowControl w:val="1"/>
      </w:pPr>
      <w:r>
        <w:t xml:space="preserve">M5.3 % vulnerabilidades críticas en plazo.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Nivel de capacidad para detectar y responder a incidentes.</w:t>
      </w:r>
    </w:p>
    <w:p>
      <w:pPr>
        <w:pStyle w:val="Heading2"/>
        <w:keepNext/>
        <w:keepLines/>
      </w:pPr>
      <w:r>
        <w:rPr>
          <w:color w:val="0066CC"/>
        </w:rPr>
        <w:t>Diapositiva 10 – Continuidad y resiliencia (G6)</w:t>
      </w:r>
    </w:p>
    <w:p>
      <w:pPr>
        <w:pStyle w:val="ListBullet"/>
        <w:keepLines w:val="1"/>
        <w:keepNext w:val="1"/>
        <w:widowControl w:val="1"/>
      </w:pPr>
      <w:r>
        <w:t xml:space="preserve">Métricas:  </w:t>
      </w:r>
    </w:p>
    <w:p>
      <w:pPr>
        <w:pStyle w:val="ListBullet"/>
        <w:keepLines w:val="1"/>
        <w:keepNext w:val="1"/>
        <w:widowControl w:val="1"/>
      </w:pPr>
      <w:r>
        <w:t xml:space="preserve">M6.1 estado y pruebas de BCP/DRP.  </w:t>
      </w:r>
    </w:p>
    <w:p>
      <w:pPr>
        <w:pStyle w:val="ListBullet"/>
        <w:keepLines w:val="1"/>
        <w:keepNext w:val="1"/>
        <w:widowControl w:val="1"/>
      </w:pPr>
      <w:r>
        <w:t xml:space="preserve">M6.2 simulacros de cibercrisis con dirección.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Grado de preparación para incidentes de gran impacto.</w:t>
      </w:r>
    </w:p>
    <w:p>
      <w:pPr>
        <w:pStyle w:val="Heading2"/>
        <w:keepNext/>
        <w:keepLines/>
      </w:pPr>
      <w:r>
        <w:rPr>
          <w:color w:val="0066CC"/>
        </w:rPr>
        <w:t>Diapositiva 11 – Monitorización, auditoría y mejora (G7)</w:t>
      </w:r>
    </w:p>
    <w:p>
      <w:pPr>
        <w:pStyle w:val="ListBullet"/>
        <w:keepLines w:val="1"/>
        <w:keepNext w:val="1"/>
        <w:widowControl w:val="1"/>
      </w:pPr>
      <w:r>
        <w:t xml:space="preserve">Métricas:  </w:t>
      </w:r>
    </w:p>
    <w:p>
      <w:pPr>
        <w:pStyle w:val="ListBullet"/>
        <w:keepLines w:val="1"/>
        <w:keepNext w:val="1"/>
        <w:widowControl w:val="1"/>
      </w:pPr>
      <w:r>
        <w:t xml:space="preserve">M7.1 cuadro de mando de ciberseguridad.  </w:t>
      </w:r>
    </w:p>
    <w:p>
      <w:pPr>
        <w:pStyle w:val="ListBullet"/>
        <w:keepLines w:val="1"/>
        <w:keepNext w:val="1"/>
        <w:widowControl w:val="1"/>
      </w:pPr>
      <w:r>
        <w:t xml:space="preserve">M7.2 auditorías de seguridad.  </w:t>
      </w:r>
    </w:p>
    <w:p>
      <w:pPr>
        <w:pStyle w:val="ListBullet"/>
        <w:keepLines w:val="1"/>
        <w:keepNext w:val="1"/>
        <w:widowControl w:val="1"/>
      </w:pPr>
      <w:r>
        <w:t xml:space="preserve">M7.3 % acciones correctivas en plazo.  </w:t>
      </w:r>
    </w:p>
    <w:p>
      <w:pPr>
        <w:pStyle w:val="ListBullet"/>
        <w:keepLines w:val="1"/>
        <w:keepNext w:val="1"/>
        <w:widowControl w:val="1"/>
      </w:pPr>
      <w:r>
        <w:t xml:space="preserve">Mensaje:  </w:t>
      </w:r>
    </w:p>
    <w:p>
      <w:pPr>
        <w:pStyle w:val="ListBullet"/>
        <w:keepLines w:val="1"/>
        <w:widowControl w:val="1"/>
      </w:pPr>
      <w:r>
        <w:t>Si la organización aprende de la experiencia o la archiva.</w:t>
      </w:r>
    </w:p>
    <w:p>
      <w:pPr>
        <w:pStyle w:val="Heading2"/>
        <w:keepNext/>
        <w:keepLines/>
      </w:pPr>
      <w:r>
        <w:rPr>
          <w:color w:val="0066CC"/>
        </w:rPr>
        <w:t>Diapositiva 12 – ROI en ciberseguridad</w:t>
      </w:r>
    </w:p>
    <w:p>
      <w:pPr>
        <w:pStyle w:val="ListBullet"/>
        <w:keepLines w:val="1"/>
        <w:keepNext w:val="1"/>
        <w:widowControl w:val="1"/>
      </w:pPr>
      <w:r>
        <w:t xml:space="preserve">Gráficos y tablas:  </w:t>
      </w:r>
    </w:p>
    <w:p>
      <w:pPr>
        <w:pStyle w:val="ListBullet"/>
        <w:keepLines w:val="1"/>
        <w:keepNext w:val="1"/>
        <w:widowControl w:val="1"/>
      </w:pPr>
      <w:r>
        <w:t xml:space="preserve">Evolución de incidentes graves.  </w:t>
      </w:r>
    </w:p>
    <w:p>
      <w:pPr>
        <w:pStyle w:val="ListBullet"/>
        <w:keepLines w:val="1"/>
        <w:keepNext w:val="1"/>
        <w:widowControl w:val="1"/>
      </w:pPr>
      <w:r>
        <w:t xml:space="preserve">Reducción de tiempos de parada.  </w:t>
      </w:r>
    </w:p>
    <w:p>
      <w:pPr>
        <w:pStyle w:val="ListBullet"/>
        <w:keepLines w:val="1"/>
        <w:keepNext w:val="1"/>
        <w:widowControl w:val="1"/>
      </w:pPr>
      <w:r>
        <w:t xml:space="preserve">Estimación de Beneficio_Total y ROI.  </w:t>
      </w:r>
    </w:p>
    <w:p>
      <w:pPr>
        <w:pStyle w:val="ListBullet"/>
        <w:keepLines w:val="1"/>
        <w:widowControl w:val="1"/>
      </w:pPr>
      <w:r>
        <w:t>Conexión explícita con mejoras en métricas GQM (p.ej. MTTD, MTTR, vulnerabilidades, continuidad).</w:t>
      </w:r>
    </w:p>
    <w:p>
      <w:pPr>
        <w:pStyle w:val="Heading2"/>
        <w:keepNext/>
        <w:keepLines/>
      </w:pPr>
      <w:r>
        <w:rPr>
          <w:color w:val="0066CC"/>
        </w:rPr>
        <w:t>Diapositiva 13 – Prioridades y roadmap</w:t>
      </w:r>
    </w:p>
    <w:p>
      <w:pPr>
        <w:pStyle w:val="ListBullet"/>
        <w:keepLines w:val="1"/>
        <w:keepNext w:val="1"/>
        <w:widowControl w:val="1"/>
      </w:pPr>
      <w:r>
        <w:t xml:space="preserve">Lista priorizada de iniciativas (3‑7):  </w:t>
      </w:r>
    </w:p>
    <w:p>
      <w:pPr>
        <w:pStyle w:val="ListBullet"/>
        <w:keepLines w:val="1"/>
        <w:keepNext w:val="1"/>
        <w:widowControl w:val="1"/>
      </w:pPr>
      <w:r>
        <w:t xml:space="preserve">Por ejemplo: reforzar SOC, desplegar SGSI en toda la organización, mejorar gestión de cambios, etc.  </w:t>
      </w:r>
    </w:p>
    <w:p>
      <w:pPr>
        <w:pStyle w:val="ListBullet"/>
        <w:keepLines w:val="1"/>
        <w:keepNext w:val="1"/>
        <w:widowControl w:val="1"/>
      </w:pPr>
      <w:r>
        <w:t xml:space="preserve">Para cada iniciativa:  </w:t>
      </w:r>
    </w:p>
    <w:p>
      <w:pPr>
        <w:pStyle w:val="ListBullet"/>
        <w:keepLines w:val="1"/>
        <w:keepNext w:val="1"/>
        <w:widowControl w:val="1"/>
      </w:pPr>
      <w:r>
        <w:t xml:space="preserve">Dominio COBIT afectado.  </w:t>
      </w:r>
    </w:p>
    <w:p>
      <w:pPr>
        <w:pStyle w:val="ListBullet"/>
        <w:keepLines w:val="1"/>
        <w:keepNext w:val="1"/>
        <w:widowControl w:val="1"/>
      </w:pPr>
      <w:r>
        <w:t xml:space="preserve">Impacto esperado en métricas (M_*) y en IGM/ROI.  </w:t>
      </w:r>
    </w:p>
    <w:p>
      <w:pPr>
        <w:pStyle w:val="ListBullet"/>
        <w:keepLines w:val="1"/>
        <w:widowControl w:val="1"/>
      </w:pPr>
      <w:r>
        <w:t>Horizonte temporal.</w:t>
      </w:r>
    </w:p>
    <w:p>
      <w:pPr>
        <w:pStyle w:val="Heading2"/>
        <w:keepNext/>
        <w:keepLines/>
      </w:pPr>
      <w:r>
        <w:rPr>
          <w:color w:val="0066CC"/>
        </w:rPr>
        <w:t>Diapositiva 14 – Conclusiones para la alta dirección</w:t>
      </w:r>
    </w:p>
    <w:p>
      <w:pPr>
        <w:pStyle w:val="ListBullet"/>
        <w:keepLines w:val="1"/>
        <w:keepNext w:val="1"/>
        <w:widowControl w:val="1"/>
      </w:pPr>
      <w:r>
        <w:t xml:space="preserve">Tres mensajes clave:  </w:t>
      </w:r>
    </w:p>
    <w:p>
      <w:pPr>
        <w:pStyle w:val="ListBullet"/>
        <w:keepLines w:val="1"/>
        <w:keepNext w:val="1"/>
        <w:widowControl w:val="1"/>
      </w:pPr>
      <w:r>
        <w:t xml:space="preserve">Estado actual y riesgos.  </w:t>
      </w:r>
    </w:p>
    <w:p>
      <w:pPr>
        <w:pStyle w:val="ListBullet"/>
        <w:keepLines w:val="1"/>
        <w:keepNext w:val="1"/>
        <w:widowControl w:val="1"/>
      </w:pPr>
      <w:r>
        <w:t xml:space="preserve">Oportunidades de mejora.  </w:t>
      </w:r>
    </w:p>
    <w:p>
      <w:pPr>
        <w:pStyle w:val="ListBullet"/>
        <w:keepLines w:val="1"/>
        <w:widowControl w:val="1"/>
      </w:pPr>
      <w:r>
        <w:t>Decisiones que se recomiendan (recursos, gobernanza, seguimiento).</w:t>
      </w:r>
    </w:p>
    <w:p>
      <w:pPr>
        <w:pStyle w:val="Heading2"/>
        <w:keepNext/>
        <w:keepLines/>
      </w:pPr>
      <w:r>
        <w:rPr>
          <w:color w:val="0066CC"/>
        </w:rPr>
        <w:t>Diapositiva 15 – Anexos (opcional)</w:t>
      </w:r>
    </w:p>
    <w:p>
      <w:pPr>
        <w:pStyle w:val="ListBullet"/>
        <w:keepLines w:val="1"/>
        <w:keepNext w:val="1"/>
        <w:widowControl w:val="1"/>
      </w:pPr>
      <w:r>
        <w:t xml:space="preserve">Detalle metodológico GQM + PRAGMATIC.  </w:t>
      </w:r>
    </w:p>
    <w:p>
      <w:pPr>
        <w:pStyle w:val="ListBullet"/>
        <w:keepLines w:val="1"/>
        <w:keepNext w:val="1"/>
        <w:widowControl w:val="1"/>
      </w:pPr>
      <w:r>
        <w:t xml:space="preserve">Matriz PRAGMATIC completa.  </w:t>
      </w:r>
    </w:p>
    <w:p>
      <w:pPr>
        <w:pStyle w:val="ListBullet"/>
        <w:keepLines w:val="1"/>
        <w:widowControl w:val="1"/>
      </w:pPr>
      <w:r>
        <w:t>Glosario de términos (COBIT, GQM, PRAGMATIC, MTTD, MTTR, etc.).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