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(PowerPoint) – Resultados Encuesta COBIT 2019</w:t>
      </w:r>
    </w:p>
    <w:p>
      <w:r>
        <w:t>Descripción en Markdown de las diapositivas sugeridas.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Informe Ejecutivo de Ciberseguridad y Gobierno de TI (COBIT 2019) </w:t>
      </w:r>
    </w:p>
    <w:p>
      <w:pPr>
        <w:pStyle w:val="ListBullet"/>
        <w:keepLines w:val="1"/>
        <w:keepNext w:val="1"/>
        <w:widowControl w:val="1"/>
      </w:pPr>
      <w:r>
        <w:t xml:space="preserve">Subtítulo: Resultados de la encuesta aplicada a [nombre organización / sector / país].  </w:t>
      </w:r>
    </w:p>
    <w:p>
      <w:pPr>
        <w:pStyle w:val="ListBullet"/>
        <w:keepLines w:val="1"/>
        <w:keepNext w:val="1"/>
        <w:widowControl w:val="1"/>
      </w:pPr>
      <w:r>
        <w:t xml:space="preserve">Fecha y versión.  </w:t>
      </w:r>
    </w:p>
    <w:p>
      <w:pPr>
        <w:pStyle w:val="ListBullet"/>
        <w:keepLines w:val="1"/>
        <w:widowControl w:val="1"/>
      </w:pPr>
      <w:r>
        <w:t>Logos de organización / patrocinadores.</w:t>
      </w:r>
    </w:p>
    <w:p>
      <w:pPr>
        <w:pStyle w:val="Heading2"/>
        <w:keepNext/>
        <w:keepLines/>
      </w:pPr>
      <w:r>
        <w:rPr>
          <w:color w:val="0066CC"/>
        </w:rPr>
        <w:t>Diapositiva 2 – Objetivos del informe</w:t>
      </w:r>
    </w:p>
    <w:p>
      <w:pPr>
        <w:pStyle w:val="ListBullet"/>
        <w:keepLines w:val="1"/>
        <w:keepNext w:val="1"/>
        <w:widowControl w:val="1"/>
      </w:pPr>
      <w:r>
        <w:t xml:space="preserve">Explicar de forma clara:  </w:t>
      </w:r>
    </w:p>
    <w:p>
      <w:pPr>
        <w:pStyle w:val="ListBullet"/>
        <w:keepLines w:val="1"/>
        <w:keepNext w:val="1"/>
        <w:widowControl w:val="1"/>
      </w:pPr>
      <w:r>
        <w:t xml:space="preserve">Por qué se ha realizado la encuesta.  </w:t>
      </w:r>
    </w:p>
    <w:p>
      <w:pPr>
        <w:pStyle w:val="ListBullet"/>
        <w:keepLines w:val="1"/>
        <w:keepNext w:val="1"/>
        <w:widowControl w:val="1"/>
      </w:pPr>
      <w:r>
        <w:t xml:space="preserve">Qué marcos la sustentan (COBIT 2019, ISO 27001, NIST CSF, etc.).[web:18][web:24]  </w:t>
      </w:r>
    </w:p>
    <w:p>
      <w:pPr>
        <w:pStyle w:val="ListBullet"/>
        <w:keepLines w:val="1"/>
        <w:widowControl w:val="1"/>
      </w:pPr>
      <w:r>
        <w:t>Cómo se utilizarán los resultados (priorización de inversiones, cumplimiento, resiliencia).</w:t>
      </w:r>
    </w:p>
    <w:p>
      <w:pPr>
        <w:pStyle w:val="Heading2"/>
        <w:keepNext/>
        <w:keepLines/>
      </w:pPr>
      <w:r>
        <w:rPr>
          <w:color w:val="0066CC"/>
        </w:rPr>
        <w:t>Diapositiva 3 – Metodología</w:t>
      </w:r>
    </w:p>
    <w:p>
      <w:pPr>
        <w:pStyle w:val="ListBullet"/>
        <w:keepLines w:val="1"/>
        <w:keepNext w:val="1"/>
        <w:widowControl w:val="1"/>
      </w:pPr>
      <w:r>
        <w:t xml:space="preserve">Población y muestra: nº de organizaciones, sectores, tamaños.  </w:t>
      </w:r>
    </w:p>
    <w:p>
      <w:pPr>
        <w:pStyle w:val="ListBullet"/>
        <w:keepLines w:val="1"/>
        <w:keepNext w:val="1"/>
        <w:widowControl w:val="1"/>
      </w:pPr>
      <w:r>
        <w:t xml:space="preserve">Enfoque COBIT: dominios evaluados (EDM, APO, BAI, DSS, MEA).  </w:t>
      </w:r>
    </w:p>
    <w:p>
      <w:pPr>
        <w:pStyle w:val="ListBullet"/>
        <w:keepLines w:val="1"/>
        <w:keepNext w:val="1"/>
        <w:widowControl w:val="1"/>
      </w:pPr>
      <w:r>
        <w:t xml:space="preserve">Escalas de madurez (0‑5) y construcción del IGM.  </w:t>
      </w:r>
    </w:p>
    <w:p>
      <w:pPr>
        <w:pStyle w:val="ListBullet"/>
        <w:keepLines w:val="1"/>
        <w:widowControl w:val="1"/>
      </w:pPr>
      <w:r>
        <w:t>Limitaciones: autoevaluación, datos declarativos, necesidad de ciclos repetidos.</w:t>
      </w:r>
    </w:p>
    <w:p>
      <w:pPr>
        <w:pStyle w:val="Heading2"/>
        <w:keepNext/>
        <w:keepLines/>
      </w:pPr>
      <w:r>
        <w:rPr>
          <w:color w:val="0066CC"/>
        </w:rPr>
        <w:t>Diapositiva 4 – Índice Global de Madurez (IGM)</w:t>
      </w:r>
    </w:p>
    <w:p>
      <w:pPr>
        <w:pStyle w:val="ListBullet"/>
        <w:keepLines w:val="1"/>
        <w:keepNext w:val="1"/>
        <w:widowControl w:val="1"/>
      </w:pPr>
      <w:r>
        <w:t xml:space="preserve">Gráfico principal:  </w:t>
      </w:r>
    </w:p>
    <w:p>
      <w:pPr>
        <w:pStyle w:val="ListBullet"/>
        <w:keepLines w:val="1"/>
        <w:keepNext w:val="1"/>
        <w:widowControl w:val="1"/>
      </w:pPr>
      <w:r>
        <w:t xml:space="preserve">Barras o velocímetro con valor medio del IGM (0‑5 o 0‑100).  </w:t>
      </w:r>
    </w:p>
    <w:p>
      <w:pPr>
        <w:pStyle w:val="ListBullet"/>
        <w:keepLines w:val="1"/>
        <w:keepNext w:val="1"/>
        <w:widowControl w:val="1"/>
      </w:pPr>
      <w:r>
        <w:t xml:space="preserve">Elementos clave:  </w:t>
      </w:r>
    </w:p>
    <w:p>
      <w:pPr>
        <w:pStyle w:val="ListBullet"/>
        <w:keepLines w:val="1"/>
        <w:keepNext w:val="1"/>
        <w:widowControl w:val="1"/>
      </w:pPr>
      <w:r>
        <w:t xml:space="preserve">Explicación breve de qué significa ese nivel.  </w:t>
      </w:r>
    </w:p>
    <w:p>
      <w:pPr>
        <w:pStyle w:val="ListBullet"/>
        <w:keepLines w:val="1"/>
        <w:widowControl w:val="1"/>
      </w:pPr>
      <w:r>
        <w:t>Comparación con valor objetivo o benchmark (sector, región, etc.).</w:t>
      </w:r>
    </w:p>
    <w:p>
      <w:pPr>
        <w:pStyle w:val="Heading2"/>
        <w:keepNext/>
        <w:keepLines/>
      </w:pPr>
      <w:r>
        <w:rPr>
          <w:color w:val="0066CC"/>
        </w:rPr>
        <w:t>Diapositiva 5 – Perfil por dominios COBIT</w:t>
      </w:r>
    </w:p>
    <w:p>
      <w:pPr>
        <w:pStyle w:val="ListBullet"/>
        <w:keepLines w:val="1"/>
        <w:keepNext w:val="1"/>
        <w:widowControl w:val="1"/>
      </w:pPr>
      <w:r>
        <w:t xml:space="preserve">Gráfico radar con valores medios por dominio:  </w:t>
      </w:r>
    </w:p>
    <w:p>
      <w:pPr>
        <w:pStyle w:val="ListBullet"/>
        <w:keepLines w:val="1"/>
        <w:keepNext w:val="1"/>
        <w:widowControl w:val="1"/>
      </w:pPr>
      <w:r>
        <w:t xml:space="preserve">Gobierno (EDM03).  </w:t>
      </w:r>
    </w:p>
    <w:p>
      <w:pPr>
        <w:pStyle w:val="ListBullet"/>
        <w:keepLines w:val="1"/>
        <w:keepNext w:val="1"/>
        <w:widowControl w:val="1"/>
      </w:pPr>
      <w:r>
        <w:t xml:space="preserve">Riesgo (APO12).  </w:t>
      </w:r>
    </w:p>
    <w:p>
      <w:pPr>
        <w:pStyle w:val="ListBullet"/>
        <w:keepLines w:val="1"/>
        <w:keepNext w:val="1"/>
        <w:widowControl w:val="1"/>
      </w:pPr>
      <w:r>
        <w:t xml:space="preserve">Seguridad/SGSI (APO13).  </w:t>
      </w:r>
    </w:p>
    <w:p>
      <w:pPr>
        <w:pStyle w:val="ListBullet"/>
        <w:keepLines w:val="1"/>
        <w:keepNext w:val="1"/>
        <w:widowControl w:val="1"/>
      </w:pPr>
      <w:r>
        <w:t xml:space="preserve">Cambios (BAI06).  </w:t>
      </w:r>
    </w:p>
    <w:p>
      <w:pPr>
        <w:pStyle w:val="ListBullet"/>
        <w:keepLines w:val="1"/>
        <w:keepNext w:val="1"/>
        <w:widowControl w:val="1"/>
      </w:pPr>
      <w:r>
        <w:t xml:space="preserve">Servicios de seguridad (DSS05).  </w:t>
      </w:r>
    </w:p>
    <w:p>
      <w:pPr>
        <w:pStyle w:val="ListBullet"/>
        <w:keepLines w:val="1"/>
        <w:keepNext w:val="1"/>
        <w:widowControl w:val="1"/>
      </w:pPr>
      <w:r>
        <w:t xml:space="preserve">Continuidad (DSS04).  </w:t>
      </w:r>
    </w:p>
    <w:p>
      <w:pPr>
        <w:pStyle w:val="ListBullet"/>
        <w:keepLines w:val="1"/>
        <w:keepNext w:val="1"/>
        <w:widowControl w:val="1"/>
      </w:pPr>
      <w:r>
        <w:t xml:space="preserve">Monitorización (MEA01‑03).  </w:t>
      </w:r>
    </w:p>
    <w:p>
      <w:pPr>
        <w:pStyle w:val="ListBullet"/>
        <w:keepLines w:val="1"/>
        <w:widowControl w:val="1"/>
      </w:pPr>
      <w:r>
        <w:t>Comentario narrativo: dominios fuertes y débiles.</w:t>
      </w:r>
    </w:p>
    <w:p>
      <w:pPr>
        <w:pStyle w:val="Heading2"/>
        <w:keepNext/>
        <w:keepLines/>
      </w:pPr>
      <w:r>
        <w:rPr>
          <w:color w:val="0066CC"/>
        </w:rPr>
        <w:t>Diapositiva 6 – Gobierno y Riesgo (EDM03, APO12)</w:t>
      </w:r>
    </w:p>
    <w:p>
      <w:pPr>
        <w:pStyle w:val="ListBullet"/>
        <w:keepLines w:val="1"/>
        <w:keepNext w:val="1"/>
        <w:widowControl w:val="1"/>
      </w:pPr>
      <w:r>
        <w:t xml:space="preserve">2‑3 indicadores clave:  </w:t>
      </w:r>
    </w:p>
    <w:p>
      <w:pPr>
        <w:pStyle w:val="ListBullet"/>
        <w:keepLines w:val="1"/>
        <w:keepNext w:val="1"/>
        <w:widowControl w:val="1"/>
      </w:pPr>
      <w:r>
        <w:t xml:space="preserve">Frecuencia de revisión por parte de la alta dirección.  </w:t>
      </w:r>
    </w:p>
    <w:p>
      <w:pPr>
        <w:pStyle w:val="ListBullet"/>
        <w:keepLines w:val="1"/>
        <w:keepNext w:val="1"/>
        <w:widowControl w:val="1"/>
      </w:pPr>
      <w:r>
        <w:t xml:space="preserve">Existencia y revisión del apetito al riesgo.  </w:t>
      </w:r>
    </w:p>
    <w:p>
      <w:pPr>
        <w:pStyle w:val="ListBullet"/>
        <w:keepLines w:val="1"/>
        <w:keepNext w:val="1"/>
        <w:widowControl w:val="1"/>
      </w:pPr>
      <w:r>
        <w:t xml:space="preserve">Cobertura de análisis de riesgos.  </w:t>
      </w:r>
    </w:p>
    <w:p>
      <w:pPr>
        <w:pStyle w:val="ListBullet"/>
        <w:keepLines w:val="1"/>
        <w:keepNext w:val="1"/>
        <w:widowControl w:val="1"/>
      </w:pPr>
      <w:r>
        <w:t xml:space="preserve">Mensaje ejecutivo:  </w:t>
      </w:r>
    </w:p>
    <w:p>
      <w:pPr>
        <w:pStyle w:val="ListBullet"/>
        <w:keepLines w:val="1"/>
        <w:widowControl w:val="1"/>
      </w:pPr>
      <w:r>
        <w:t>¿El riesgo de ciberseguridad se gobierna o se improvisa?</w:t>
      </w:r>
    </w:p>
    <w:p>
      <w:pPr>
        <w:pStyle w:val="Heading2"/>
        <w:keepNext/>
        <w:keepLines/>
      </w:pPr>
      <w:r>
        <w:rPr>
          <w:color w:val="0066CC"/>
        </w:rPr>
        <w:t>Diapositiva 7 – Seguridad gestionada (APO13)</w:t>
      </w:r>
    </w:p>
    <w:p>
      <w:pPr>
        <w:pStyle w:val="ListBullet"/>
        <w:keepLines w:val="1"/>
        <w:keepNext w:val="1"/>
        <w:widowControl w:val="1"/>
      </w:pPr>
      <w:r>
        <w:t xml:space="preserve">Indicadores clave:  </w:t>
      </w:r>
    </w:p>
    <w:p>
      <w:pPr>
        <w:pStyle w:val="ListBullet"/>
        <w:keepLines w:val="1"/>
        <w:keepNext w:val="1"/>
        <w:widowControl w:val="1"/>
      </w:pPr>
      <w:r>
        <w:t xml:space="preserve">Porcentaje con SGSI formal / certificado.  </w:t>
      </w:r>
    </w:p>
    <w:p>
      <w:pPr>
        <w:pStyle w:val="ListBullet"/>
        <w:keepLines w:val="1"/>
        <w:keepNext w:val="1"/>
        <w:widowControl w:val="1"/>
      </w:pPr>
      <w:r>
        <w:t xml:space="preserve">Peso del presupuesto de seguridad en el presupuesto de TI.  </w:t>
      </w:r>
    </w:p>
    <w:p>
      <w:pPr>
        <w:pStyle w:val="ListBullet"/>
        <w:keepLines w:val="1"/>
        <w:keepNext w:val="1"/>
        <w:widowControl w:val="1"/>
      </w:pPr>
      <w:r>
        <w:t xml:space="preserve">Presencia formal del CISO.  </w:t>
      </w:r>
    </w:p>
    <w:p>
      <w:pPr>
        <w:pStyle w:val="ListBullet"/>
        <w:keepLines w:val="1"/>
        <w:keepNext w:val="1"/>
        <w:widowControl w:val="1"/>
      </w:pPr>
      <w:r>
        <w:t xml:space="preserve">Mensaje:  </w:t>
      </w:r>
    </w:p>
    <w:p>
      <w:pPr>
        <w:pStyle w:val="ListBullet"/>
        <w:keepLines w:val="1"/>
        <w:widowControl w:val="1"/>
      </w:pPr>
      <w:r>
        <w:t>¿La seguridad es una función estable o una vocación a tiempo parcial?</w:t>
      </w:r>
    </w:p>
    <w:p>
      <w:pPr>
        <w:pStyle w:val="Heading2"/>
        <w:keepNext/>
        <w:keepLines/>
      </w:pPr>
      <w:r>
        <w:rPr>
          <w:color w:val="0066CC"/>
        </w:rPr>
        <w:t>Diapositiva 8 – Cambios y servicios de seguridad (BAI06, DSS05)</w:t>
      </w:r>
    </w:p>
    <w:p>
      <w:pPr>
        <w:pStyle w:val="ListBullet"/>
        <w:keepLines w:val="1"/>
        <w:keepNext w:val="1"/>
        <w:widowControl w:val="1"/>
      </w:pPr>
      <w:r>
        <w:t xml:space="preserve">Indicadores:  </w:t>
      </w:r>
    </w:p>
    <w:p>
      <w:pPr>
        <w:pStyle w:val="ListBullet"/>
        <w:keepLines w:val="1"/>
        <w:keepNext w:val="1"/>
        <w:widowControl w:val="1"/>
      </w:pPr>
      <w:r>
        <w:t xml:space="preserve">% de cambios con evaluación de impacto en seguridad.  </w:t>
      </w:r>
    </w:p>
    <w:p>
      <w:pPr>
        <w:pStyle w:val="ListBullet"/>
        <w:keepLines w:val="1"/>
        <w:keepNext w:val="1"/>
        <w:widowControl w:val="1"/>
      </w:pPr>
      <w:r>
        <w:t xml:space="preserve">Niveles de MTTD y MTTR.  </w:t>
      </w:r>
    </w:p>
    <w:p>
      <w:pPr>
        <w:pStyle w:val="ListBullet"/>
        <w:keepLines w:val="1"/>
        <w:keepNext w:val="1"/>
        <w:widowControl w:val="1"/>
      </w:pPr>
      <w:r>
        <w:t xml:space="preserve">% de vulnerabilidades críticas resueltas en plazo.  </w:t>
      </w:r>
    </w:p>
    <w:p>
      <w:pPr>
        <w:pStyle w:val="ListBullet"/>
        <w:keepLines w:val="1"/>
        <w:keepNext w:val="1"/>
        <w:widowControl w:val="1"/>
      </w:pPr>
      <w:r>
        <w:t xml:space="preserve">Mensaje:  </w:t>
      </w:r>
    </w:p>
    <w:p>
      <w:pPr>
        <w:pStyle w:val="ListBullet"/>
        <w:keepLines w:val="1"/>
        <w:widowControl w:val="1"/>
      </w:pPr>
      <w:r>
        <w:t>¿Somos proactivos o especialistas en apagar fuegos?</w:t>
      </w:r>
    </w:p>
    <w:p>
      <w:pPr>
        <w:pStyle w:val="Heading2"/>
        <w:keepNext/>
        <w:keepLines/>
      </w:pPr>
      <w:r>
        <w:rPr>
          <w:color w:val="0066CC"/>
        </w:rPr>
        <w:t>Diapositiva 9 – Continuidad y resiliencia (DSS04)</w:t>
      </w:r>
    </w:p>
    <w:p>
      <w:pPr>
        <w:pStyle w:val="ListBullet"/>
        <w:keepLines w:val="1"/>
        <w:keepNext w:val="1"/>
        <w:widowControl w:val="1"/>
      </w:pPr>
      <w:r>
        <w:t xml:space="preserve">Indicadores:  </w:t>
      </w:r>
    </w:p>
    <w:p>
      <w:pPr>
        <w:pStyle w:val="ListBullet"/>
        <w:keepLines w:val="1"/>
        <w:keepNext w:val="1"/>
        <w:widowControl w:val="1"/>
      </w:pPr>
      <w:r>
        <w:t xml:space="preserve">% de organizaciones con BCP/DRP probados.  </w:t>
      </w:r>
    </w:p>
    <w:p>
      <w:pPr>
        <w:pStyle w:val="ListBullet"/>
        <w:keepLines w:val="1"/>
        <w:keepNext w:val="1"/>
        <w:widowControl w:val="1"/>
      </w:pPr>
      <w:r>
        <w:t xml:space="preserve">Frecuencia de simulacros de cibercrisis con participación de dirección.  </w:t>
      </w:r>
    </w:p>
    <w:p>
      <w:pPr>
        <w:pStyle w:val="ListBullet"/>
        <w:keepLines w:val="1"/>
        <w:keepNext w:val="1"/>
        <w:widowControl w:val="1"/>
      </w:pPr>
      <w:r>
        <w:t xml:space="preserve">Mensaje:  </w:t>
      </w:r>
    </w:p>
    <w:p>
      <w:pPr>
        <w:pStyle w:val="ListBullet"/>
        <w:keepLines w:val="1"/>
        <w:widowControl w:val="1"/>
      </w:pPr>
      <w:r>
        <w:t>¿La continuidad está planificada o se confía en la suerte?</w:t>
      </w:r>
    </w:p>
    <w:p>
      <w:pPr>
        <w:pStyle w:val="Heading2"/>
        <w:keepNext/>
        <w:keepLines/>
      </w:pPr>
      <w:r>
        <w:rPr>
          <w:color w:val="0066CC"/>
        </w:rPr>
        <w:t>Diapositiva 10 – Cumplimiento y mejora (MEA01‑03)</w:t>
      </w:r>
    </w:p>
    <w:p>
      <w:pPr>
        <w:pStyle w:val="ListBullet"/>
        <w:keepLines w:val="1"/>
        <w:keepNext w:val="1"/>
        <w:widowControl w:val="1"/>
      </w:pPr>
      <w:r>
        <w:t xml:space="preserve">Indicadores:  </w:t>
      </w:r>
    </w:p>
    <w:p>
      <w:pPr>
        <w:pStyle w:val="ListBullet"/>
        <w:keepLines w:val="1"/>
        <w:keepNext w:val="1"/>
        <w:widowControl w:val="1"/>
      </w:pPr>
      <w:r>
        <w:t xml:space="preserve">Cuadros de mando existentes.  </w:t>
      </w:r>
    </w:p>
    <w:p>
      <w:pPr>
        <w:pStyle w:val="ListBullet"/>
        <w:keepLines w:val="1"/>
        <w:keepNext w:val="1"/>
        <w:widowControl w:val="1"/>
      </w:pPr>
      <w:r>
        <w:t xml:space="preserve">Frecuencia de auditorías.  </w:t>
      </w:r>
    </w:p>
    <w:p>
      <w:pPr>
        <w:pStyle w:val="ListBullet"/>
        <w:keepLines w:val="1"/>
        <w:keepNext w:val="1"/>
        <w:widowControl w:val="1"/>
      </w:pPr>
      <w:r>
        <w:t xml:space="preserve">% de acciones correctivas cerradas en plazo.  </w:t>
      </w:r>
    </w:p>
    <w:p>
      <w:pPr>
        <w:pStyle w:val="ListBullet"/>
        <w:keepLines w:val="1"/>
        <w:keepNext w:val="1"/>
        <w:widowControl w:val="1"/>
      </w:pPr>
      <w:r>
        <w:t xml:space="preserve">Mensaje:  </w:t>
      </w:r>
    </w:p>
    <w:p>
      <w:pPr>
        <w:pStyle w:val="ListBullet"/>
        <w:keepLines w:val="1"/>
        <w:widowControl w:val="1"/>
      </w:pPr>
      <w:r>
        <w:t>¿Aprendemos de los errores o los archivamos?</w:t>
      </w:r>
    </w:p>
    <w:p>
      <w:pPr>
        <w:pStyle w:val="Heading2"/>
        <w:keepNext/>
        <w:keepLines/>
      </w:pPr>
      <w:r>
        <w:rPr>
          <w:color w:val="0066CC"/>
        </w:rPr>
        <w:t>Diapositiva 11 – ROI y casos de negocio</w:t>
      </w:r>
    </w:p>
    <w:p>
      <w:pPr>
        <w:pStyle w:val="ListBullet"/>
        <w:keepLines w:val="1"/>
        <w:keepNext w:val="1"/>
        <w:widowControl w:val="1"/>
      </w:pPr>
      <w:r>
        <w:t xml:space="preserve">Resumen de resultados de ROI, si se han calculado:  </w:t>
      </w:r>
    </w:p>
    <w:p>
      <w:pPr>
        <w:pStyle w:val="ListBullet"/>
        <w:keepLines w:val="1"/>
        <w:keepNext w:val="1"/>
        <w:widowControl w:val="1"/>
      </w:pPr>
      <w:r>
        <w:t xml:space="preserve">Reducción de incidentes graves.  </w:t>
      </w:r>
    </w:p>
    <w:p>
      <w:pPr>
        <w:pStyle w:val="ListBullet"/>
        <w:keepLines w:val="1"/>
        <w:keepNext w:val="1"/>
        <w:widowControl w:val="1"/>
      </w:pPr>
      <w:r>
        <w:t xml:space="preserve">Reducción de tiempo de parada.  </w:t>
      </w:r>
    </w:p>
    <w:p>
      <w:pPr>
        <w:pStyle w:val="ListBullet"/>
        <w:keepLines w:val="1"/>
        <w:keepNext w:val="1"/>
        <w:widowControl w:val="1"/>
      </w:pPr>
      <w:r>
        <w:t xml:space="preserve">Ahorros o pérdidas evitadas.  </w:t>
      </w:r>
    </w:p>
    <w:p>
      <w:pPr>
        <w:pStyle w:val="ListBullet"/>
        <w:keepLines w:val="1"/>
        <w:keepNext w:val="1"/>
        <w:widowControl w:val="1"/>
      </w:pPr>
      <w:r>
        <w:t xml:space="preserve">Mensaje:  </w:t>
      </w:r>
    </w:p>
    <w:p>
      <w:pPr>
        <w:pStyle w:val="ListBullet"/>
        <w:keepLines w:val="1"/>
        <w:widowControl w:val="1"/>
      </w:pPr>
      <w:r>
        <w:t>La ciberseguridad como inversión con retorno, no solo coste.</w:t>
      </w:r>
    </w:p>
    <w:p>
      <w:pPr>
        <w:pStyle w:val="Heading2"/>
        <w:keepNext/>
        <w:keepLines/>
      </w:pPr>
      <w:r>
        <w:rPr>
          <w:color w:val="0066CC"/>
        </w:rPr>
        <w:t>Diapositiva 12 – Roadmap de mejora</w:t>
      </w:r>
    </w:p>
    <w:p>
      <w:pPr>
        <w:pStyle w:val="ListBullet"/>
        <w:keepLines w:val="1"/>
        <w:keepNext w:val="1"/>
        <w:widowControl w:val="1"/>
      </w:pPr>
      <w:r>
        <w:t xml:space="preserve">3‑5 líneas de acción priorizadas:  </w:t>
      </w:r>
    </w:p>
    <w:p>
      <w:pPr>
        <w:pStyle w:val="ListBullet"/>
        <w:keepLines w:val="1"/>
        <w:keepNext w:val="1"/>
        <w:widowControl w:val="1"/>
      </w:pPr>
      <w:r>
        <w:t xml:space="preserve">Ej.: fortalecer gestión de riesgos, mejorar SOC, robustecer continuidad, etc.  </w:t>
      </w:r>
    </w:p>
    <w:p>
      <w:pPr>
        <w:pStyle w:val="ListBullet"/>
        <w:keepLines w:val="1"/>
        <w:keepNext w:val="1"/>
        <w:widowControl w:val="1"/>
      </w:pPr>
      <w:r>
        <w:t xml:space="preserve">Para cada línea:  </w:t>
      </w:r>
    </w:p>
    <w:p>
      <w:pPr>
        <w:pStyle w:val="ListBullet"/>
        <w:keepLines w:val="1"/>
        <w:widowControl w:val="1"/>
      </w:pPr>
      <w:r>
        <w:t>Objetivo, horizonte temporal, responsable principal.</w:t>
      </w:r>
    </w:p>
    <w:p>
      <w:pPr>
        <w:pStyle w:val="Heading2"/>
        <w:keepNext/>
        <w:keepLines/>
      </w:pPr>
      <w:r>
        <w:rPr>
          <w:color w:val="0066CC"/>
        </w:rPr>
        <w:t>Diapositiva 13 – Conclusiones para la alta dirección</w:t>
      </w:r>
    </w:p>
    <w:p>
      <w:pPr>
        <w:pStyle w:val="ListBullet"/>
        <w:keepLines w:val="1"/>
        <w:keepNext w:val="1"/>
        <w:widowControl w:val="1"/>
      </w:pPr>
      <w:r>
        <w:t xml:space="preserve">3 ideas clave:  </w:t>
      </w:r>
    </w:p>
    <w:p>
      <w:pPr>
        <w:pStyle w:val="ListBullet"/>
        <w:keepLines w:val="1"/>
        <w:keepNext w:val="1"/>
        <w:widowControl w:val="1"/>
      </w:pPr>
      <w:r>
        <w:t xml:space="preserve">Estado actual.  </w:t>
      </w:r>
    </w:p>
    <w:p>
      <w:pPr>
        <w:pStyle w:val="ListBullet"/>
        <w:keepLines w:val="1"/>
        <w:keepNext w:val="1"/>
        <w:widowControl w:val="1"/>
      </w:pPr>
      <w:r>
        <w:t xml:space="preserve">Riesgos de no actuar.  </w:t>
      </w:r>
    </w:p>
    <w:p>
      <w:pPr>
        <w:pStyle w:val="ListBullet"/>
        <w:keepLines w:val="1"/>
        <w:keepNext w:val="1"/>
        <w:widowControl w:val="1"/>
      </w:pPr>
      <w:r>
        <w:t xml:space="preserve">Oportunidades de mejora.  </w:t>
      </w:r>
    </w:p>
    <w:p>
      <w:pPr>
        <w:pStyle w:val="ListBullet"/>
        <w:keepLines w:val="1"/>
        <w:keepNext w:val="1"/>
        <w:widowControl w:val="1"/>
      </w:pPr>
      <w:r>
        <w:t xml:space="preserve">Llamada a la acción:  </w:t>
      </w:r>
    </w:p>
    <w:p>
      <w:pPr>
        <w:pStyle w:val="ListBullet"/>
        <w:keepLines w:val="1"/>
        <w:widowControl w:val="1"/>
      </w:pPr>
      <w:r>
        <w:t>Aprobar recursos, fijar objetivos de madurez, establecer seguimiento periódico.</w:t>
      </w:r>
    </w:p>
    <w:p>
      <w:pPr>
        <w:pStyle w:val="Heading2"/>
        <w:keepNext/>
        <w:keepLines/>
      </w:pPr>
      <w:r>
        <w:rPr>
          <w:color w:val="0066CC"/>
        </w:rPr>
        <w:t>Diapositiva 14 – Anexos (opcional)</w:t>
      </w:r>
    </w:p>
    <w:p>
      <w:pPr>
        <w:pStyle w:val="ListBullet"/>
        <w:keepLines w:val="1"/>
        <w:widowControl w:val="1"/>
      </w:pPr>
      <w:r>
        <w:t>Detalle metodológico, distribución de respuestas, definiciones de escalas, glosario de términos COBIT y de ciberseguridad.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