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de Encuesta COBIT 2019 de Ciberseguridad</w:t>
      </w:r>
    </w:p>
    <w:p>
      <w:r>
        <w:t>Bienvenido al kit. Se trata de un conjunto de documentos diseñados para evaluar, con rigor y sin perder del todo el sentido del humor, el estado de la ciberseguridad en organizaciones que quieran mirarse al espejo sin filtros embellecedores.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pPr>
        <w:pStyle w:val="ListBullet"/>
        <w:keepLines w:val="1"/>
        <w:keepNext w:val="1"/>
        <w:widowControl w:val="1"/>
      </w:pPr>
      <w:r>
        <w:br/>
        <w:t>a_modelo_encuesta.md</w:t>
        <w:br/>
        <w:t xml:space="preserve">  Modelo de encuesta integral, listo para adaptar y aplicar a empresas y organismos.  </w:t>
        <w:br/>
      </w:r>
    </w:p>
    <w:p>
      <w:pPr>
        <w:pStyle w:val="ListBullet"/>
        <w:keepLines w:val="1"/>
        <w:keepNext w:val="1"/>
        <w:widowControl w:val="1"/>
      </w:pPr>
      <w:r>
        <w:br/>
        <w:t>b_guia_metodologica.md</w:t>
        <w:br/>
        <w:t xml:space="preserve">  Guía de uso y codificación, explicación de escalas, objetivos y lógica de cálculo del IGM y subíndices.  </w:t>
        <w:br/>
      </w:r>
    </w:p>
    <w:p>
      <w:pPr>
        <w:pStyle w:val="ListBullet"/>
        <w:keepLines w:val="1"/>
        <w:keepNext w:val="1"/>
        <w:widowControl w:val="1"/>
      </w:pPr>
      <w:r>
        <w:br/>
        <w:t>c_narrativa_explicativa.md</w:t>
        <w:br/>
        <w:t xml:space="preserve">  Narrativa para contextualizar la encuesta, explicar su sentido y ayudar en la comunicación interna.  </w:t>
        <w:br/>
      </w:r>
    </w:p>
    <w:p>
      <w:pPr>
        <w:pStyle w:val="ListBullet"/>
        <w:keepLines w:val="1"/>
        <w:keepNext w:val="1"/>
        <w:widowControl w:val="1"/>
      </w:pPr>
      <w:r>
        <w:br/>
        <w:t>d_mapeo_preguntas_normativa.md</w:t>
        <w:br/>
        <w:t xml:space="preserve">  Tabla de mapeo entre preguntas, objetivos COBIT 2019 y marcos normativos de referencia.  </w:t>
        <w:br/>
      </w:r>
    </w:p>
    <w:p>
      <w:pPr>
        <w:pStyle w:val="ListBullet"/>
        <w:keepLines w:val="1"/>
        <w:keepNext w:val="1"/>
        <w:widowControl w:val="1"/>
      </w:pPr>
      <w:r>
        <w:br/>
        <w:t>e_plantilla_excel_igm_roi.md</w:t>
        <w:br/>
        <w:t xml:space="preserve">  Descripción de la estructura de una hoja Excel para cálculo de IGM y ROI.  </w:t>
        <w:br/>
      </w:r>
    </w:p>
    <w:p>
      <w:pPr>
        <w:pStyle w:val="ListBullet"/>
        <w:keepLines w:val="1"/>
        <w:widowControl w:val="1"/>
      </w:pPr>
      <w:r>
        <w:br/>
        <w:t>f_plantilla_reporte_ejecutivo_ppt.md</w:t>
        <w:br/>
        <w:t xml:space="preserve">  Estructura de un informe ejecutivo tipo PowerPoint con los principales resultados.  </w:t>
        <w:br/>
      </w:r>
    </w:p>
    <w:p>
      <w:r>
        <w:rPr>
          <w:rFonts w:ascii="Courier New" w:hAnsi="Courier New"/>
          <w:sz w:val="18"/>
        </w:rPr>
        <w:t>a_modelo_encuesta.md</w:t>
      </w:r>
      <w:r/>
      <w:r>
        <w:br/>
        <w:t xml:space="preserve">  Modelo de encuesta integral, listo para adaptar y aplicar a empresas y organismos.  </w:t>
      </w:r>
    </w:p>
    <w:p>
      <w:r>
        <w:rPr>
          <w:rFonts w:ascii="Courier New" w:hAnsi="Courier New"/>
          <w:sz w:val="18"/>
        </w:rPr>
        <w:t>b_guia_metodologica.md</w:t>
      </w:r>
      <w:r/>
      <w:r>
        <w:br/>
        <w:t xml:space="preserve">  Guía de uso y codificación, explicación de escalas, objetivos y lógica de cálculo del IGM y subíndices.  </w:t>
      </w:r>
    </w:p>
    <w:p>
      <w:r>
        <w:rPr>
          <w:rFonts w:ascii="Courier New" w:hAnsi="Courier New"/>
          <w:sz w:val="18"/>
        </w:rPr>
        <w:t>c_narrativa_explicativa.md</w:t>
      </w:r>
      <w:r/>
      <w:r>
        <w:br/>
        <w:t xml:space="preserve">  Narrativa para contextualizar la encuesta, explicar su sentido y ayudar en la comunicación interna.  </w:t>
      </w:r>
    </w:p>
    <w:p>
      <w:r>
        <w:rPr>
          <w:rFonts w:ascii="Courier New" w:hAnsi="Courier New"/>
          <w:sz w:val="18"/>
        </w:rPr>
        <w:t>d_mapeo_preguntas_normativa.md</w:t>
      </w:r>
      <w:r/>
      <w:r>
        <w:br/>
        <w:t xml:space="preserve">  Tabla de mapeo entre preguntas, objetivos COBIT 2019 y marcos normativos de referencia.  </w:t>
      </w:r>
    </w:p>
    <w:p>
      <w:r>
        <w:rPr>
          <w:rFonts w:ascii="Courier New" w:hAnsi="Courier New"/>
          <w:sz w:val="18"/>
        </w:rPr>
        <w:t>e_plantilla_excel_igm_roi.md</w:t>
      </w:r>
      <w:r/>
      <w:r>
        <w:br/>
        <w:t xml:space="preserve">  Descripción de la estructura de una hoja Excel para cálculo de IGM y ROI.  </w:t>
      </w:r>
    </w:p>
    <w:p>
      <w:r>
        <w:rPr>
          <w:rFonts w:ascii="Courier New" w:hAnsi="Courier New"/>
          <w:sz w:val="18"/>
        </w:rPr>
        <w:t>f_plantilla_reporte_ejecutivo_ppt.md</w:t>
      </w:r>
      <w:r/>
      <w:r>
        <w:br/>
        <w:t xml:space="preserve">  Estructura de un informe ejecutivo tipo PowerPoint con los principales resultados.  </w:t>
      </w:r>
    </w:p>
    <w:p>
      <w:pPr>
        <w:pStyle w:val="Heading2"/>
        <w:keepNext/>
        <w:keepLines/>
      </w:pPr>
      <w:r>
        <w:rPr>
          <w:color w:val="0066CC"/>
        </w:rPr>
        <w:t>2. Requisitos previos</w:t>
      </w:r>
    </w:p>
    <w:p>
      <w:pPr>
        <w:pStyle w:val="ListBullet"/>
        <w:keepLines w:val="1"/>
        <w:keepNext w:val="1"/>
        <w:widowControl w:val="1"/>
      </w:pPr>
      <w:r>
        <w:t xml:space="preserve">Familiaridad básica con los conceptos de ciberseguridad y gobierno de TI.  </w:t>
      </w:r>
    </w:p>
    <w:p>
      <w:pPr>
        <w:pStyle w:val="ListBullet"/>
        <w:keepLines w:val="1"/>
        <w:keepNext w:val="1"/>
        <w:widowControl w:val="1"/>
      </w:pPr>
      <w:r>
        <w:t xml:space="preserve">Idealmente, referencia al marco COBIT 2019 (o ganas de tenerla).[web:18][web:39]  </w:t>
      </w:r>
    </w:p>
    <w:p>
      <w:pPr>
        <w:pStyle w:val="ListBullet"/>
        <w:keepLines w:val="1"/>
        <w:widowControl w:val="1"/>
      </w:pPr>
      <w:r>
        <w:t>Alguna experiencia con hojas de cálculo y presentaciones (Excel, LibreOffice Calc, PowerPoint o equivalentes).</w:t>
      </w:r>
    </w:p>
    <w:p>
      <w:pPr>
        <w:pStyle w:val="Heading2"/>
        <w:keepNext/>
        <w:keepLines/>
      </w:pPr>
      <w:r>
        <w:rPr>
          <w:color w:val="0066CC"/>
        </w:rPr>
        <w:t>3. Cómo empezar</w:t>
      </w:r>
    </w:p>
    <w:p>
      <w:pPr>
        <w:pStyle w:val="ListNumber"/>
        <w:keepLines w:val="1"/>
        <w:keepNext w:val="1"/>
        <w:widowControl w:val="1"/>
      </w:pPr>
      <w:r>
        <w:t xml:space="preserve">Adaptar la encuesta </w:t>
      </w:r>
    </w:p>
    <w:p>
      <w:pPr>
        <w:pStyle w:val="ListNumber"/>
        <w:keepLines w:val="1"/>
        <w:keepNext w:val="1"/>
        <w:widowControl w:val="1"/>
      </w:pPr>
      <w:r>
        <w:t xml:space="preserve">Revisar a_modelo_encuesta.md.  </w:t>
      </w:r>
    </w:p>
    <w:p>
      <w:pPr>
        <w:pStyle w:val="ListNumber"/>
        <w:keepLines w:val="1"/>
        <w:keepNext w:val="1"/>
        <w:widowControl w:val="1"/>
      </w:pPr>
      <w:r>
        <w:t xml:space="preserve">Ajustar terminología al contexto de la organización/sector.  </w:t>
      </w:r>
    </w:p>
    <w:p>
      <w:pPr>
        <w:pStyle w:val="ListNumber"/>
        <w:keepLines w:val="1"/>
        <w:keepNext w:val="1"/>
        <w:widowControl w:val="1"/>
      </w:pPr>
      <w:r>
        <w:br/>
        <w:t>Añadir o eliminar preguntas según necesidades específicas.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Definir el plan de aplicación </w:t>
        <w:br/>
      </w:r>
    </w:p>
    <w:p>
      <w:pPr>
        <w:pStyle w:val="ListNumber"/>
        <w:keepLines w:val="1"/>
        <w:keepNext w:val="1"/>
        <w:widowControl w:val="1"/>
      </w:pPr>
      <w:r>
        <w:t xml:space="preserve">Elegir población objetivo (qué unidades, países, filiales).  </w:t>
      </w:r>
    </w:p>
    <w:p>
      <w:pPr>
        <w:pStyle w:val="ListNumber"/>
        <w:keepLines w:val="1"/>
        <w:keepNext w:val="1"/>
        <w:widowControl w:val="1"/>
      </w:pPr>
      <w:r>
        <w:t xml:space="preserve">Decidir formato (online, entrevistas, formulario interno).  </w:t>
      </w:r>
    </w:p>
    <w:p>
      <w:pPr>
        <w:pStyle w:val="ListNumber"/>
        <w:keepLines w:val="1"/>
        <w:keepNext w:val="1"/>
        <w:widowControl w:val="1"/>
      </w:pPr>
      <w:r>
        <w:br/>
        <w:t>Establecer plazos claros de respuesta.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Configurar el Excel </w:t>
        <w:br/>
      </w:r>
    </w:p>
    <w:p>
      <w:pPr>
        <w:pStyle w:val="ListNumber"/>
        <w:keepLines w:val="1"/>
        <w:keepNext w:val="1"/>
        <w:widowControl w:val="1"/>
      </w:pPr>
      <w:r>
        <w:t xml:space="preserve">Crear el libro siguiendo e_plantilla_excel_igm_roi.md.  </w:t>
      </w:r>
    </w:p>
    <w:p>
      <w:pPr>
        <w:pStyle w:val="ListNumber"/>
        <w:keepLines w:val="1"/>
        <w:keepNext w:val="1"/>
        <w:widowControl w:val="1"/>
      </w:pPr>
      <w:r>
        <w:t xml:space="preserve">Codificar las opciones de respuesta con valores numéricos.  </w:t>
      </w:r>
    </w:p>
    <w:p>
      <w:pPr>
        <w:pStyle w:val="ListNumber"/>
        <w:keepLines w:val="1"/>
        <w:keepNext w:val="1"/>
        <w:widowControl w:val="1"/>
      </w:pPr>
      <w:r>
        <w:br/>
        <w:t>Definir pesos por dominios y preguntas.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Comunicar la iniciativa </w:t>
        <w:br/>
      </w:r>
    </w:p>
    <w:p>
      <w:pPr>
        <w:pStyle w:val="ListNumber"/>
        <w:keepLines w:val="1"/>
        <w:keepNext w:val="1"/>
        <w:widowControl w:val="1"/>
      </w:pPr>
      <w:r>
        <w:t xml:space="preserve">Usar c_narrativa_explicativa.md para explicar el porqué.  </w:t>
      </w:r>
    </w:p>
    <w:p>
      <w:pPr>
        <w:pStyle w:val="ListNumber"/>
        <w:keepLines w:val="1"/>
        <w:widowControl w:val="1"/>
      </w:pPr>
      <w:r>
        <w:t>Aclarar que no se trata de un examen, sino de un diagnóstico para priorizar mejoras.</w:t>
      </w:r>
    </w:p>
    <w:p>
      <w:r>
        <w:t>Añadir o eliminar preguntas según necesidades específicas.</w:t>
      </w:r>
    </w:p>
    <w:p>
      <w:r>
        <w:rPr>
          <w:b/>
        </w:rPr>
        <w:t>Definir el plan de aplicación</w:t>
      </w:r>
      <w:r>
        <w:t xml:space="preserve"> </w:t>
      </w:r>
    </w:p>
    <w:p>
      <w:r>
        <w:t>Establecer plazos claros de respuesta.</w:t>
      </w:r>
    </w:p>
    <w:p>
      <w:r>
        <w:rPr>
          <w:b/>
        </w:rPr>
        <w:t>Configurar el Excel</w:t>
      </w:r>
      <w:r>
        <w:t xml:space="preserve"> </w:t>
      </w:r>
    </w:p>
    <w:p>
      <w:r>
        <w:t>Definir pesos por dominios y preguntas.</w:t>
      </w:r>
    </w:p>
    <w:p>
      <w:r>
        <w:rPr>
          <w:b/>
        </w:rPr>
        <w:t>Comunicar la iniciativa</w:t>
      </w:r>
      <w:r>
        <w:t xml:space="preserve"> </w:t>
      </w:r>
    </w:p>
    <w:p>
      <w:pPr>
        <w:pStyle w:val="Heading2"/>
        <w:keepNext/>
        <w:keepLines/>
      </w:pPr>
      <w:r>
        <w:rPr>
          <w:color w:val="0066CC"/>
        </w:rPr>
        <w:t>4. Interpretación y uso de resultados</w:t>
      </w:r>
    </w:p>
    <w:p>
      <w:pPr>
        <w:pStyle w:val="ListBullet"/>
        <w:keepLines w:val="1"/>
        <w:keepNext w:val="1"/>
        <w:widowControl w:val="1"/>
      </w:pPr>
      <w:r>
        <w:t xml:space="preserve">Utilizar la guía metodológica para:  </w:t>
      </w:r>
    </w:p>
    <w:p>
      <w:pPr>
        <w:pStyle w:val="ListBullet"/>
        <w:keepLines w:val="1"/>
        <w:keepNext w:val="1"/>
        <w:widowControl w:val="1"/>
      </w:pPr>
      <w:r>
        <w:t xml:space="preserve">Calcular el Índice Global de Madurez (IGM).  </w:t>
      </w:r>
    </w:p>
    <w:p>
      <w:pPr>
        <w:pStyle w:val="ListBullet"/>
        <w:keepLines w:val="1"/>
        <w:keepNext w:val="1"/>
        <w:widowControl w:val="1"/>
      </w:pPr>
      <w:r>
        <w:t xml:space="preserve">Generar perfiles por dominio COBIT.  </w:t>
      </w:r>
    </w:p>
    <w:p>
      <w:pPr>
        <w:pStyle w:val="ListBullet"/>
        <w:keepLines w:val="1"/>
        <w:keepNext w:val="1"/>
        <w:widowControl w:val="1"/>
      </w:pPr>
      <w:r>
        <w:br/>
        <w:t xml:space="preserve">Identificar brechas y prioridades de inversión.[web:29][web:44]  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Utilizar la plantilla de reporte ejecutivo para:  </w:t>
        <w:br/>
      </w:r>
    </w:p>
    <w:p>
      <w:pPr>
        <w:pStyle w:val="ListBullet"/>
        <w:keepLines w:val="1"/>
        <w:keepNext w:val="1"/>
        <w:widowControl w:val="1"/>
      </w:pPr>
      <w:r>
        <w:t xml:space="preserve">Presentar los resultados a la alta dirección.  </w:t>
      </w:r>
    </w:p>
    <w:p>
      <w:pPr>
        <w:pStyle w:val="ListBullet"/>
        <w:keepLines w:val="1"/>
        <w:keepNext w:val="1"/>
        <w:widowControl w:val="1"/>
      </w:pPr>
      <w:r>
        <w:t xml:space="preserve">Conectar los hallazgos con riesgos y oportunidades de negocio.  </w:t>
      </w:r>
    </w:p>
    <w:p>
      <w:pPr>
        <w:pStyle w:val="ListBullet"/>
        <w:keepLines w:val="1"/>
        <w:widowControl w:val="1"/>
      </w:pPr>
      <w:r>
        <w:t>Proponer un roadmap de mejora realista.</w:t>
      </w:r>
    </w:p>
    <w:p>
      <w:r>
        <w:t xml:space="preserve">Identificar brechas y prioridades de inversión.[web:29][web:44]  </w:t>
      </w:r>
    </w:p>
    <w:p>
      <w:r>
        <w:t xml:space="preserve">Utilizar la plantilla de reporte ejecutivo para:  </w:t>
      </w:r>
    </w:p>
    <w:p>
      <w:pPr>
        <w:pStyle w:val="Heading2"/>
        <w:keepNext/>
        <w:keepLines/>
      </w:pPr>
      <w:r>
        <w:rPr>
          <w:color w:val="0066CC"/>
        </w:rPr>
        <w:t>5. Buenas prácticas de implementación</w:t>
      </w:r>
    </w:p>
    <w:p>
      <w:pPr>
        <w:pStyle w:val="ListBullet"/>
        <w:keepLines w:val="1"/>
        <w:keepNext w:val="1"/>
        <w:widowControl w:val="1"/>
      </w:pPr>
      <w:r>
        <w:t xml:space="preserve">Confidencialidad: asegurar el tratamiento adecuado de la información.  </w:t>
      </w:r>
    </w:p>
    <w:p>
      <w:pPr>
        <w:pStyle w:val="ListBullet"/>
        <w:keepLines w:val="1"/>
        <w:keepNext w:val="1"/>
        <w:widowControl w:val="1"/>
      </w:pPr>
      <w:r>
        <w:t xml:space="preserve">Transparencia: compartir resultados agregados y, cuando sea posible, comparativas sectoriales.  </w:t>
      </w:r>
    </w:p>
    <w:p>
      <w:pPr>
        <w:pStyle w:val="ListBullet"/>
        <w:keepLines w:val="1"/>
        <w:keepNext w:val="1"/>
        <w:widowControl w:val="1"/>
      </w:pPr>
      <w:r>
        <w:t xml:space="preserve">Iteración: repetir periódicamente la encuesta para medir el progreso.  </w:t>
      </w:r>
    </w:p>
    <w:p>
      <w:pPr>
        <w:pStyle w:val="ListBullet"/>
        <w:keepLines w:val="1"/>
        <w:widowControl w:val="1"/>
      </w:pPr>
      <w:r>
        <w:t>Humildad: recordar que toda evaluación es un punto de partida, no un veredicto final.</w:t>
      </w:r>
    </w:p>
    <w:p>
      <w:pPr>
        <w:pStyle w:val="Heading2"/>
        <w:keepNext/>
        <w:keepLines/>
      </w:pPr>
      <w:r>
        <w:rPr>
          <w:color w:val="0066CC"/>
        </w:rPr>
        <w:t>6. Licencia de uso y adaptación</w:t>
      </w:r>
    </w:p>
    <w:p>
      <w:r>
        <w:t>El kit está pensado para ser adaptado, extendido y versionado. Se anima a:</w:t>
      </w:r>
    </w:p>
    <w:p>
      <w:pPr>
        <w:pStyle w:val="ListBullet"/>
        <w:keepLines w:val="1"/>
        <w:keepNext w:val="1"/>
        <w:widowControl w:val="1"/>
      </w:pPr>
      <w:r>
        <w:t xml:space="preserve">Incorporar referencias a marcos locales (ENS, NIS2, guías de organismos reguladores).  </w:t>
      </w:r>
    </w:p>
    <w:p>
      <w:pPr>
        <w:pStyle w:val="ListBullet"/>
        <w:keepLines w:val="1"/>
        <w:keepNext w:val="1"/>
        <w:widowControl w:val="1"/>
      </w:pPr>
      <w:r>
        <w:t xml:space="preserve">Añadir módulos específicos por sector (por ejemplo, sanidad, energía, financiero).  </w:t>
      </w:r>
    </w:p>
    <w:p>
      <w:pPr>
        <w:pStyle w:val="ListBullet"/>
        <w:keepLines w:val="1"/>
        <w:widowControl w:val="1"/>
      </w:pPr>
      <w:r>
        <w:t>Enriquecer las métricas de ROI con datos internos.</w:t>
      </w:r>
    </w:p>
    <w:p>
      <w:pPr>
        <w:pStyle w:val="Heading2"/>
        <w:keepNext/>
        <w:keepLines/>
      </w:pPr>
      <w:r>
        <w:rPr>
          <w:color w:val="0066CC"/>
        </w:rPr>
        <w:t>7. Última palabra</w:t>
      </w:r>
    </w:p>
    <w:p>
      <w:r>
        <w:t>Si tras usar este kit tu organización concluye que tiene mucho trabajo por delante en ciberseguridad, no es una mala noticia: es la realidad presentándose con educación. COBIT 2019 ofrece el mapa; este kit, la linterna. El camino ya es cosa vuestra.[web:18][web:29]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