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keepNext/>
        <w:keepLines/>
      </w:pPr>
      <w:r>
        <w:rPr>
          <w:color w:val="003366"/>
        </w:rPr>
        <w:t>📐 GUÍA METODOLÓGICA DETALLADA</w:t>
      </w:r>
    </w:p>
    <w:p>
      <w:pPr>
        <w:pStyle w:val="Heading2"/>
        <w:keepNext/>
        <w:keepLines/>
      </w:pPr>
      <w:r>
        <w:rPr>
          <w:color w:val="0066CC"/>
        </w:rPr>
        <w:t>Kit de Encuesta CIA Triad — Diagnóstico de Madurez en Ciberseguridad</w:t>
      </w:r>
    </w:p>
    <w:p>
      <w:pPr>
        <w:pStyle w:val="Heading3"/>
        <w:keepNext/>
        <w:keepLines/>
      </w:pPr>
      <w:r>
        <w:t>Versión 2025 · Para Investigadores y Coordinadores</w:t>
      </w:r>
    </w:p>
    <w:p>
      <w:pPr>
        <w:pStyle w:val="Heading2"/>
        <w:keepNext/>
        <w:keepLines/>
      </w:pPr>
      <w:r>
        <w:rPr>
          <w:color w:val="0066CC"/>
        </w:rPr>
        <w:t>1. FUNDAMENTOS EPISTEMOLÓGICOS Y MARCO TEÓRICO</w:t>
      </w:r>
    </w:p>
    <w:p>
      <w:pPr>
        <w:pStyle w:val="Heading3"/>
        <w:keepNext/>
        <w:keepLines/>
      </w:pPr>
      <w:r>
        <w:t>1.1. Base Conceptual</w:t>
      </w:r>
    </w:p>
    <w:p>
      <w:r>
        <w:t>Esta encuesta se ancla epistemológicamente en el modelo CIA Triad como arquetipo consolidado de la teoría de seguridad de la información, complementado con las extensiones CIANA (Confidentiality, Integrity, Availability, Non-repudiation, Authenticity) reconocidas por el ENS español (RD 311/2022) y la ISO/IEC 27000 family.</w:t>
      </w:r>
    </w:p>
    <w:p>
      <w:r>
        <w:rPr>
          <w:b/>
        </w:rPr>
        <w:t>Marcos normativos que fundamentan los ítems: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rPr>
          <w:cantSplit w:val="1"/>
        </w:trPr>
        <w:tc>
          <w:tcPr>
            <w:tcW w:type="dxa" w:w="3120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Marco</w:t>
            </w:r>
          </w:p>
        </w:tc>
        <w:tc>
          <w:tcPr>
            <w:tcW w:type="dxa" w:w="3120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Aplicabilidad</w:t>
            </w:r>
          </w:p>
        </w:tc>
        <w:tc>
          <w:tcPr>
            <w:tcW w:type="dxa" w:w="3120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Pilares CIA Cubiertos</w:t>
            </w:r>
          </w:p>
        </w:tc>
      </w:tr>
      <w:tr>
        <w:trPr>
          <w:cantSplit w:val="1"/>
        </w:trPr>
        <w:tc>
          <w:tcPr>
            <w:tcW w:type="dxa" w:w="3120"/>
          </w:tcPr>
          <w:p>
            <w:pPr>
              <w:keepLines w:val="1"/>
              <w:keepNext w:val="1"/>
            </w:pPr>
            <w:r>
              <w:t>NIST CSF 2.0 (2024)</w:t>
            </w:r>
          </w:p>
        </w:tc>
        <w:tc>
          <w:tcPr>
            <w:tcW w:type="dxa" w:w="3120"/>
          </w:tcPr>
          <w:p>
            <w:pPr>
              <w:keepLines w:val="1"/>
              <w:keepNext w:val="1"/>
            </w:pPr>
            <w:r>
              <w:t>Global / referencia</w:t>
            </w:r>
          </w:p>
        </w:tc>
        <w:tc>
          <w:tcPr>
            <w:tcW w:type="dxa" w:w="3120"/>
          </w:tcPr>
          <w:p>
            <w:pPr>
              <w:keepLines w:val="1"/>
              <w:keepNext w:val="1"/>
            </w:pPr>
            <w:r>
              <w:t>C + I + A</w:t>
            </w:r>
          </w:p>
        </w:tc>
      </w:tr>
      <w:tr>
        <w:trPr>
          <w:cantSplit w:val="1"/>
        </w:trPr>
        <w:tc>
          <w:tcPr>
            <w:tcW w:type="dxa" w:w="3120"/>
          </w:tcPr>
          <w:p>
            <w:pPr>
              <w:keepLines w:val="1"/>
              <w:keepNext w:val="1"/>
            </w:pPr>
            <w:r>
              <w:t>NIST SP 800-53 Rev. 5</w:t>
            </w:r>
          </w:p>
        </w:tc>
        <w:tc>
          <w:tcPr>
            <w:tcW w:type="dxa" w:w="3120"/>
          </w:tcPr>
          <w:p>
            <w:pPr>
              <w:keepLines w:val="1"/>
              <w:keepNext w:val="1"/>
            </w:pPr>
            <w:r>
              <w:t>Sector público / referencia</w:t>
            </w:r>
          </w:p>
        </w:tc>
        <w:tc>
          <w:tcPr>
            <w:tcW w:type="dxa" w:w="3120"/>
          </w:tcPr>
          <w:p>
            <w:pPr>
              <w:keepLines w:val="1"/>
              <w:keepNext w:val="1"/>
            </w:pPr>
            <w:r>
              <w:t>C + I + A + No repudio</w:t>
            </w:r>
          </w:p>
        </w:tc>
      </w:tr>
      <w:tr>
        <w:trPr>
          <w:cantSplit w:val="1"/>
        </w:trPr>
        <w:tc>
          <w:tcPr>
            <w:tcW w:type="dxa" w:w="3120"/>
          </w:tcPr>
          <w:p>
            <w:pPr>
              <w:keepLines w:val="1"/>
              <w:keepNext w:val="1"/>
            </w:pPr>
            <w:r>
              <w:t>ISO/IEC 27001:2022</w:t>
            </w:r>
          </w:p>
        </w:tc>
        <w:tc>
          <w:tcPr>
            <w:tcW w:type="dxa" w:w="3120"/>
          </w:tcPr>
          <w:p>
            <w:pPr>
              <w:keepLines w:val="1"/>
              <w:keepNext w:val="1"/>
            </w:pPr>
            <w:r>
              <w:t>Internacional / certificación</w:t>
            </w:r>
          </w:p>
        </w:tc>
        <w:tc>
          <w:tcPr>
            <w:tcW w:type="dxa" w:w="3120"/>
          </w:tcPr>
          <w:p>
            <w:pPr>
              <w:keepLines w:val="1"/>
              <w:keepNext w:val="1"/>
            </w:pPr>
            <w:r>
              <w:t>C + I + A</w:t>
            </w:r>
          </w:p>
        </w:tc>
      </w:tr>
      <w:tr>
        <w:trPr>
          <w:cantSplit w:val="1"/>
        </w:trPr>
        <w:tc>
          <w:tcPr>
            <w:tcW w:type="dxa" w:w="3120"/>
          </w:tcPr>
          <w:p>
            <w:pPr>
              <w:keepLines w:val="1"/>
              <w:keepNext w:val="1"/>
            </w:pPr>
            <w:r>
              <w:t>ENS (RD 311/2022)</w:t>
            </w:r>
          </w:p>
        </w:tc>
        <w:tc>
          <w:tcPr>
            <w:tcW w:type="dxa" w:w="3120"/>
          </w:tcPr>
          <w:p>
            <w:pPr>
              <w:keepLines w:val="1"/>
              <w:keepNext w:val="1"/>
            </w:pPr>
            <w:r>
              <w:t>España — AAPP y proveedores</w:t>
            </w:r>
          </w:p>
        </w:tc>
        <w:tc>
          <w:tcPr>
            <w:tcW w:type="dxa" w:w="3120"/>
          </w:tcPr>
          <w:p>
            <w:pPr>
              <w:keepLines w:val="1"/>
              <w:keepNext w:val="1"/>
            </w:pPr>
            <w:r>
              <w:t>C + I + A + Autenticidad + Trazabilidad</w:t>
            </w:r>
          </w:p>
        </w:tc>
      </w:tr>
      <w:tr>
        <w:trPr>
          <w:cantSplit w:val="1"/>
        </w:trPr>
        <w:tc>
          <w:tcPr>
            <w:tcW w:type="dxa" w:w="3120"/>
          </w:tcPr>
          <w:p>
            <w:pPr>
              <w:keepLines w:val="1"/>
              <w:keepNext w:val="1"/>
            </w:pPr>
            <w:r>
              <w:t>NIS2 / Anteproyecto LCGC</w:t>
            </w:r>
          </w:p>
        </w:tc>
        <w:tc>
          <w:tcPr>
            <w:tcW w:type="dxa" w:w="3120"/>
          </w:tcPr>
          <w:p>
            <w:pPr>
              <w:keepLines w:val="1"/>
              <w:keepNext w:val="1"/>
            </w:pPr>
            <w:r>
              <w:t>UE / sectores esenciales</w:t>
            </w:r>
          </w:p>
        </w:tc>
        <w:tc>
          <w:tcPr>
            <w:tcW w:type="dxa" w:w="3120"/>
          </w:tcPr>
          <w:p>
            <w:pPr>
              <w:keepLines w:val="1"/>
              <w:keepNext w:val="1"/>
            </w:pPr>
            <w:r>
              <w:t>A (principal) + C + I</w:t>
            </w:r>
          </w:p>
        </w:tc>
      </w:tr>
      <w:tr>
        <w:trPr>
          <w:cantSplit w:val="1"/>
        </w:trPr>
        <w:tc>
          <w:tcPr>
            <w:tcW w:type="dxa" w:w="3120"/>
          </w:tcPr>
          <w:p>
            <w:pPr>
              <w:keepLines w:val="1"/>
              <w:keepNext w:val="1"/>
            </w:pPr>
            <w:r>
              <w:t>DORA</w:t>
            </w:r>
          </w:p>
        </w:tc>
        <w:tc>
          <w:tcPr>
            <w:tcW w:type="dxa" w:w="3120"/>
          </w:tcPr>
          <w:p>
            <w:pPr>
              <w:keepLines w:val="1"/>
              <w:keepNext w:val="1"/>
            </w:pPr>
            <w:r>
              <w:t>UE / sector financiero</w:t>
            </w:r>
          </w:p>
        </w:tc>
        <w:tc>
          <w:tcPr>
            <w:tcW w:type="dxa" w:w="3120"/>
          </w:tcPr>
          <w:p>
            <w:pPr>
              <w:keepLines w:val="1"/>
              <w:keepNext w:val="1"/>
            </w:pPr>
            <w:r>
              <w:t>A (resiliencia operacional) + C + I</w:t>
            </w:r>
          </w:p>
        </w:tc>
      </w:tr>
      <w:tr>
        <w:trPr>
          <w:cantSplit w:val="1"/>
        </w:trPr>
        <w:tc>
          <w:tcPr>
            <w:tcW w:type="dxa" w:w="3120"/>
          </w:tcPr>
          <w:p>
            <w:pPr>
              <w:keepLines w:val="1"/>
              <w:keepNext w:val="1"/>
            </w:pPr>
            <w:r>
              <w:t>ISO/IEC 27701:2025</w:t>
            </w:r>
          </w:p>
        </w:tc>
        <w:tc>
          <w:tcPr>
            <w:tcW w:type="dxa" w:w="3120"/>
          </w:tcPr>
          <w:p>
            <w:pPr>
              <w:keepLines w:val="1"/>
              <w:keepNext w:val="1"/>
            </w:pPr>
            <w:r>
              <w:t>Internacional / privacidad</w:t>
            </w:r>
          </w:p>
        </w:tc>
        <w:tc>
          <w:tcPr>
            <w:tcW w:type="dxa" w:w="3120"/>
          </w:tcPr>
          <w:p>
            <w:pPr>
              <w:keepLines w:val="1"/>
              <w:keepNext w:val="1"/>
            </w:pPr>
            <w:r>
              <w:t>C</w:t>
            </w:r>
          </w:p>
        </w:tc>
      </w:tr>
      <w:tr>
        <w:trPr>
          <w:cantSplit w:val="1"/>
        </w:trPr>
        <w:tc>
          <w:tcPr>
            <w:tcW w:type="dxa" w:w="3120"/>
          </w:tcPr>
          <w:p>
            <w:pPr>
              <w:keepLines w:val="1"/>
            </w:pPr>
            <w:r>
              <w:t>NIST PQC (FIPS 203/204/205)</w:t>
            </w:r>
          </w:p>
        </w:tc>
        <w:tc>
          <w:tcPr>
            <w:tcW w:type="dxa" w:w="3120"/>
          </w:tcPr>
          <w:p>
            <w:pPr>
              <w:keepLines w:val="1"/>
            </w:pPr>
            <w:r>
              <w:t>Global / criptografía</w:t>
            </w:r>
          </w:p>
        </w:tc>
        <w:tc>
          <w:tcPr>
            <w:tcW w:type="dxa" w:w="3120"/>
          </w:tcPr>
          <w:p>
            <w:pPr>
              <w:keepLines w:val="1"/>
            </w:pPr>
            <w:r>
              <w:t>C + I</w:t>
            </w:r>
          </w:p>
        </w:tc>
      </w:tr>
    </w:tbl>
    <w:p/>
    <w:p>
      <w:pPr>
        <w:pStyle w:val="Heading3"/>
        <w:keepNext/>
        <w:keepLines/>
      </w:pPr>
      <w:r>
        <w:t>1.2. Diseño del Instrumento</w:t>
      </w:r>
    </w:p>
    <w:p>
      <w:r>
        <w:t xml:space="preserve">El instrumento de medición sigue la metodología </w:t>
      </w:r>
      <w:r>
        <w:rPr>
          <w:b/>
        </w:rPr>
        <w:t>GQM (Goal-Question-Metric)</w:t>
      </w:r>
      <w:r>
        <w:t>, ampliamente utilizada en investigación de calidad de software y adaptada al dominio de la ciberseguridad:</w:t>
      </w:r>
    </w:p>
    <w:p>
      <w:pPr>
        <w:pStyle w:val="NoSpacing"/>
        <w:keepLines/>
        <w:shd w:fill="F5F5F5"/>
      </w:pPr>
      <w:r>
        <w:rPr>
          <w:rFonts w:ascii="Courier New" w:hAnsi="Courier New"/>
          <w:sz w:val="18"/>
        </w:rPr>
        <w:t>OBJETIVO (Goal): Medir la madurez operativa en las dimensiones CIA</w:t>
        <w:br/>
        <w:t xml:space="preserve">    ↓</w:t>
        <w:br/>
        <w:t>PREGUNTA (Question): ¿Qué controles implementa la organización?</w:t>
        <w:br/>
        <w:t xml:space="preserve">    ↓</w:t>
        <w:br/>
        <w:t>MÉTRICA (Metric): Indicadores cuantitativos y cualitativos de implementación</w:t>
        <w:br/>
      </w:r>
    </w:p>
    <w:p>
      <w:pPr>
        <w:pStyle w:val="Heading3"/>
        <w:keepNext/>
        <w:keepLines/>
      </w:pPr>
      <w:r>
        <w:t>1.3. Modelo de Madurez Subyacente</w:t>
      </w:r>
    </w:p>
    <w:p>
      <w:r>
        <w:t xml:space="preserve">El modelo de madurez utilizado combina elementos del </w:t>
      </w:r>
      <w:r>
        <w:rPr>
          <w:b/>
        </w:rPr>
        <w:t>CMMI</w:t>
      </w:r>
      <w:r>
        <w:t xml:space="preserve"> (Capability Maturity Model Integration) y el </w:t>
      </w:r>
      <w:r>
        <w:rPr>
          <w:b/>
        </w:rPr>
        <w:t>C2M2</w:t>
      </w:r>
      <w:r>
        <w:t xml:space="preserve"> (Cybersecurity Capability Maturity Model), adaptados a la escala Likert de 5 niveles: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rPr>
          <w:cantSplit w:val="1"/>
        </w:trPr>
        <w:tc>
          <w:tcPr>
            <w:tcW w:type="dxa" w:w="2340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Nivel</w:t>
            </w:r>
          </w:p>
        </w:tc>
        <w:tc>
          <w:tcPr>
            <w:tcW w:type="dxa" w:w="2340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CMMI Equivalente</w:t>
            </w:r>
          </w:p>
        </w:tc>
        <w:tc>
          <w:tcPr>
            <w:tcW w:type="dxa" w:w="2340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C2M2 Equivalente</w:t>
            </w:r>
          </w:p>
        </w:tc>
        <w:tc>
          <w:tcPr>
            <w:tcW w:type="dxa" w:w="2340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Descripción Operativa</w:t>
            </w:r>
          </w:p>
        </w:tc>
      </w:tr>
      <w:tr>
        <w:trPr>
          <w:cantSplit w:val="1"/>
        </w:trPr>
        <w:tc>
          <w:tcPr>
            <w:tcW w:type="dxa" w:w="2340"/>
          </w:tcPr>
          <w:p>
            <w:pPr>
              <w:keepLines w:val="1"/>
              <w:keepNext w:val="1"/>
            </w:pPr>
            <w:r>
              <w:t>1</w:t>
            </w:r>
          </w:p>
        </w:tc>
        <w:tc>
          <w:tcPr>
            <w:tcW w:type="dxa" w:w="2340"/>
          </w:tcPr>
          <w:p>
            <w:pPr>
              <w:keepLines w:val="1"/>
              <w:keepNext w:val="1"/>
            </w:pPr>
            <w:r>
              <w:t>Initial</w:t>
            </w:r>
          </w:p>
        </w:tc>
        <w:tc>
          <w:tcPr>
            <w:tcW w:type="dxa" w:w="2340"/>
          </w:tcPr>
          <w:p>
            <w:pPr>
              <w:keepLines w:val="1"/>
              <w:keepNext w:val="1"/>
            </w:pPr>
            <w:r>
              <w:t>MIL0</w:t>
            </w:r>
          </w:p>
        </w:tc>
        <w:tc>
          <w:tcPr>
            <w:tcW w:type="dxa" w:w="2340"/>
          </w:tcPr>
          <w:p>
            <w:pPr>
              <w:keepLines w:val="1"/>
              <w:keepNext w:val="1"/>
            </w:pPr>
            <w:r>
              <w:t>Sin procesos definidos; heroísmo individual</w:t>
            </w:r>
          </w:p>
        </w:tc>
      </w:tr>
      <w:tr>
        <w:trPr>
          <w:cantSplit w:val="1"/>
        </w:trPr>
        <w:tc>
          <w:tcPr>
            <w:tcW w:type="dxa" w:w="2340"/>
          </w:tcPr>
          <w:p>
            <w:pPr>
              <w:keepLines w:val="1"/>
              <w:keepNext w:val="1"/>
            </w:pPr>
            <w:r>
              <w:t>2</w:t>
            </w:r>
          </w:p>
        </w:tc>
        <w:tc>
          <w:tcPr>
            <w:tcW w:type="dxa" w:w="2340"/>
          </w:tcPr>
          <w:p>
            <w:pPr>
              <w:keepLines w:val="1"/>
              <w:keepNext w:val="1"/>
            </w:pPr>
            <w:r>
              <w:t>Managed</w:t>
            </w:r>
          </w:p>
        </w:tc>
        <w:tc>
          <w:tcPr>
            <w:tcW w:type="dxa" w:w="2340"/>
          </w:tcPr>
          <w:p>
            <w:pPr>
              <w:keepLines w:val="1"/>
              <w:keepNext w:val="1"/>
            </w:pPr>
            <w:r>
              <w:t>MIL1</w:t>
            </w:r>
          </w:p>
        </w:tc>
        <w:tc>
          <w:tcPr>
            <w:tcW w:type="dxa" w:w="2340"/>
          </w:tcPr>
          <w:p>
            <w:pPr>
              <w:keepLines w:val="1"/>
              <w:keepNext w:val="1"/>
            </w:pPr>
            <w:r>
              <w:t>Procesos reactivos; documentación irregular</w:t>
            </w:r>
          </w:p>
        </w:tc>
      </w:tr>
      <w:tr>
        <w:trPr>
          <w:cantSplit w:val="1"/>
        </w:trPr>
        <w:tc>
          <w:tcPr>
            <w:tcW w:type="dxa" w:w="2340"/>
          </w:tcPr>
          <w:p>
            <w:pPr>
              <w:keepLines w:val="1"/>
              <w:keepNext w:val="1"/>
            </w:pPr>
            <w:r>
              <w:t>3</w:t>
            </w:r>
          </w:p>
        </w:tc>
        <w:tc>
          <w:tcPr>
            <w:tcW w:type="dxa" w:w="2340"/>
          </w:tcPr>
          <w:p>
            <w:pPr>
              <w:keepLines w:val="1"/>
              <w:keepNext w:val="1"/>
            </w:pPr>
            <w:r>
              <w:t>Defined</w:t>
            </w:r>
          </w:p>
        </w:tc>
        <w:tc>
          <w:tcPr>
            <w:tcW w:type="dxa" w:w="2340"/>
          </w:tcPr>
          <w:p>
            <w:pPr>
              <w:keepLines w:val="1"/>
              <w:keepNext w:val="1"/>
            </w:pPr>
            <w:r>
              <w:t>MIL2</w:t>
            </w:r>
          </w:p>
        </w:tc>
        <w:tc>
          <w:tcPr>
            <w:tcW w:type="dxa" w:w="2340"/>
          </w:tcPr>
          <w:p>
            <w:pPr>
              <w:keepLines w:val="1"/>
              <w:keepNext w:val="1"/>
            </w:pPr>
            <w:r>
              <w:t>Procesos estandarizados; implementación consistente</w:t>
            </w:r>
          </w:p>
        </w:tc>
      </w:tr>
      <w:tr>
        <w:trPr>
          <w:cantSplit w:val="1"/>
        </w:trPr>
        <w:tc>
          <w:tcPr>
            <w:tcW w:type="dxa" w:w="2340"/>
          </w:tcPr>
          <w:p>
            <w:pPr>
              <w:keepLines w:val="1"/>
              <w:keepNext w:val="1"/>
            </w:pPr>
            <w:r>
              <w:t>4</w:t>
            </w:r>
          </w:p>
        </w:tc>
        <w:tc>
          <w:tcPr>
            <w:tcW w:type="dxa" w:w="2340"/>
          </w:tcPr>
          <w:p>
            <w:pPr>
              <w:keepLines w:val="1"/>
              <w:keepNext w:val="1"/>
            </w:pPr>
            <w:r>
              <w:t>Quantitatively Managed</w:t>
            </w:r>
          </w:p>
        </w:tc>
        <w:tc>
          <w:tcPr>
            <w:tcW w:type="dxa" w:w="2340"/>
          </w:tcPr>
          <w:p>
            <w:pPr>
              <w:keepLines w:val="1"/>
              <w:keepNext w:val="1"/>
            </w:pPr>
            <w:r>
              <w:t>MIL3</w:t>
            </w:r>
          </w:p>
        </w:tc>
        <w:tc>
          <w:tcPr>
            <w:tcW w:type="dxa" w:w="2340"/>
          </w:tcPr>
          <w:p>
            <w:pPr>
              <w:keepLines w:val="1"/>
              <w:keepNext w:val="1"/>
            </w:pPr>
            <w:r>
              <w:t>Métricas formales; mejora basada en datos</w:t>
            </w:r>
          </w:p>
        </w:tc>
      </w:tr>
      <w:tr>
        <w:trPr>
          <w:cantSplit w:val="1"/>
        </w:trPr>
        <w:tc>
          <w:tcPr>
            <w:tcW w:type="dxa" w:w="2340"/>
          </w:tcPr>
          <w:p>
            <w:pPr>
              <w:keepLines w:val="1"/>
            </w:pPr>
            <w:r>
              <w:t>5</w:t>
            </w:r>
          </w:p>
        </w:tc>
        <w:tc>
          <w:tcPr>
            <w:tcW w:type="dxa" w:w="2340"/>
          </w:tcPr>
          <w:p>
            <w:pPr>
              <w:keepLines w:val="1"/>
            </w:pPr>
            <w:r>
              <w:t>Optimizing</w:t>
            </w:r>
          </w:p>
        </w:tc>
        <w:tc>
          <w:tcPr>
            <w:tcW w:type="dxa" w:w="2340"/>
          </w:tcPr>
          <w:p>
            <w:pPr>
              <w:keepLines w:val="1"/>
            </w:pPr>
            <w:r>
              <w:t>MIL3+</w:t>
            </w:r>
          </w:p>
        </w:tc>
        <w:tc>
          <w:tcPr>
            <w:tcW w:type="dxa" w:w="2340"/>
          </w:tcPr>
          <w:p>
            <w:pPr>
              <w:keepLines w:val="1"/>
            </w:pPr>
            <w:r>
              <w:t>Mejora continua; benchmarking externo; anticipación</w:t>
            </w:r>
          </w:p>
        </w:tc>
      </w:tr>
    </w:tbl>
    <w:p/>
    <w:p>
      <w:pPr>
        <w:pStyle w:val="Heading2"/>
        <w:keepNext/>
        <w:keepLines/>
      </w:pPr>
      <w:r>
        <w:rPr>
          <w:color w:val="0066CC"/>
        </w:rPr>
        <w:t>2. DISEÑO MUESTRAL</w:t>
      </w:r>
    </w:p>
    <w:p>
      <w:pPr>
        <w:pStyle w:val="Heading3"/>
        <w:keepNext/>
        <w:keepLines/>
      </w:pPr>
      <w:r>
        <w:t>2.1. Universo Poblacional</w:t>
      </w:r>
    </w:p>
    <w:p>
      <w:r>
        <w:rPr>
          <w:b/>
        </w:rPr>
        <w:t>Población objetivo primaria:</w:t>
      </w:r>
      <w:r>
        <w:t xml:space="preserve"> Responsables de ciberseguridad en organizaciones con sede o actividad relevante en España.</w:t>
      </w:r>
    </w:p>
    <w:p>
      <w:r>
        <w:rPr>
          <w:b/>
        </w:rPr>
        <w:t>Perfiles de respondentes válidos (en orden de preferencia):</w:t>
      </w:r>
      <w:r/>
      <w:r>
        <w:br/>
        <w:t>1. CISO (Chief Information Security Officer)</w:t>
      </w:r>
      <w:r/>
      <w:r>
        <w:br/>
        <w:t>2. CIO / Director de Tecnología con responsabilidad en seguridad</w:t>
      </w:r>
      <w:r/>
      <w:r>
        <w:br/>
        <w:t>3. CTO en organizaciones sin CISO</w:t>
      </w:r>
      <w:r/>
      <w:r>
        <w:br/>
        <w:t>4. DPO (Data Protection Officer) — para preguntas de confidencialidad</w:t>
      </w:r>
      <w:r/>
      <w:r>
        <w:br/>
        <w:t>5. Responsable de Sistemas / Director de TI con responsabilidad de seguridad</w:t>
      </w:r>
      <w:r/>
      <w:r>
        <w:br/>
        <w:t>6. Responsable de Cumplimiento (Compliance Officer) con competencia en ciberseguridad</w:t>
      </w:r>
      <w:r/>
      <w:r>
        <w:br/>
        <w:t>7. Responsable de Continuidad de Negocio / BCP Manager</w:t>
      </w:r>
    </w:p>
    <w:p>
      <w:r>
        <w:rPr>
          <w:b/>
        </w:rPr>
        <w:t>Perfiles no válidos como respondentes únicos:</w:t>
      </w:r>
      <w:r/>
      <w:r>
        <w:br/>
        <w:t>- Técnicos de helpdesk sin responsabilidad directiva</w:t>
      </w:r>
      <w:r/>
      <w:r>
        <w:br/>
        <w:t>- Personal de negocio sin responsabilidad TI</w:t>
      </w:r>
      <w:r/>
      <w:r>
        <w:br/>
        <w:t>- Consultores externos sin conocimiento del entorno operativo real de la organización</w:t>
      </w:r>
    </w:p>
    <w:p>
      <w:pPr>
        <w:pStyle w:val="Heading3"/>
        <w:keepNext/>
        <w:keepLines/>
      </w:pPr>
      <w:r>
        <w:t>2.2. Segmentación de la Muestra</w:t>
      </w:r>
    </w:p>
    <w:p>
      <w:r>
        <w:t>Para análisis comparativo estadísticamente significativo, se recomienda la siguiente estratificación:</w:t>
      </w:r>
    </w:p>
    <w:p>
      <w:r>
        <w:rPr>
          <w:b/>
        </w:rPr>
        <w:t>Por tamaño organizacional:</w:t>
      </w:r>
      <w:r/>
      <w:r>
        <w:br/>
        <w:t>- Microempresas (&lt; 50 empleados): n ≥ 30</w:t>
      </w:r>
      <w:r/>
      <w:r>
        <w:br/>
        <w:t>- PYMEs (50-250): n ≥ 50</w:t>
      </w:r>
      <w:r/>
      <w:r>
        <w:br/>
        <w:t>- Medianas empresas (251-1.000): n ≥ 50</w:t>
      </w:r>
      <w:r/>
      <w:r>
        <w:br/>
        <w:t>- Grandes empresas y corporaciones (&gt; 1.000): n ≥ 50</w:t>
      </w:r>
    </w:p>
    <w:p>
      <w:r>
        <w:rPr>
          <w:b/>
        </w:rPr>
        <w:t>Por sector (sectores prioritarios según criticidad NIS2):</w:t>
      </w:r>
      <w:r/>
      <w:r>
        <w:br/>
        <w:t>- Banca y finanzas: n ≥ 30</w:t>
      </w:r>
      <w:r/>
      <w:r>
        <w:br/>
        <w:t>- Administración pública: n ≥ 30</w:t>
      </w:r>
      <w:r/>
      <w:r>
        <w:br/>
        <w:t>- Energía: n ≥ 20</w:t>
      </w:r>
      <w:r/>
      <w:r>
        <w:br/>
        <w:t>- Salud: n ≥ 20</w:t>
      </w:r>
      <w:r/>
      <w:r>
        <w:br/>
        <w:t>- Transporte: n ≥ 20</w:t>
      </w:r>
      <w:r/>
      <w:r>
        <w:br/>
        <w:t>- TIC y telecomunicaciones: n ≥ 20</w:t>
      </w:r>
      <w:r/>
      <w:r>
        <w:br/>
        <w:t>- Otros sectores: n ≥ 30</w:t>
      </w:r>
    </w:p>
    <w:p>
      <w:r>
        <w:rPr>
          <w:b/>
        </w:rPr>
        <w:t>Tamaño muestral mínimo recomendado:</w:t>
      </w:r>
      <w:r>
        <w:t xml:space="preserve"> n = 300 (margen de error ±5,6% con NC 95%)</w:t>
      </w:r>
      <w:r/>
      <w:r>
        <w:br/>
      </w:r>
      <w:r>
        <w:rPr>
          <w:b/>
        </w:rPr>
        <w:t>Tamaño muestral óptimo:</w:t>
      </w:r>
      <w:r>
        <w:t xml:space="preserve"> n = 500 (margen de error ±4,4% con NC 95%)</w:t>
      </w:r>
    </w:p>
    <w:p>
      <w:pPr>
        <w:pStyle w:val="Heading3"/>
        <w:keepNext/>
        <w:keepLines/>
      </w:pPr>
      <w:r>
        <w:t>2.3. Método de Muestreo</w:t>
      </w:r>
    </w:p>
    <w:p>
      <w:r>
        <w:t xml:space="preserve">Se recomienda muestreo </w:t>
      </w:r>
      <w:r>
        <w:rPr>
          <w:b/>
        </w:rPr>
        <w:t>estratificado no proporcional</w:t>
      </w:r>
      <w:r>
        <w:t xml:space="preserve"> con afijación óptima (Neyman) para garantizar representatividad en estratos pequeños (sectores de nicho o microempresas) manteniendo poder estadístico en el análisis comparativo.</w:t>
      </w:r>
    </w:p>
    <w:p>
      <w:pPr>
        <w:pStyle w:val="Heading2"/>
        <w:keepNext/>
        <w:keepLines/>
      </w:pPr>
      <w:r>
        <w:rPr>
          <w:color w:val="0066CC"/>
        </w:rPr>
        <w:t>3. ADMINISTRACIÓN DE LA ENCUESTA</w:t>
      </w:r>
    </w:p>
    <w:p>
      <w:pPr>
        <w:pStyle w:val="Heading3"/>
        <w:keepNext/>
        <w:keepLines/>
      </w:pPr>
      <w:r>
        <w:t>3.1. Modalidades de Distribución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rPr>
          <w:cantSplit w:val="1"/>
        </w:trPr>
        <w:tc>
          <w:tcPr>
            <w:tcW w:type="dxa" w:w="2340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Modalidad</w:t>
            </w:r>
          </w:p>
        </w:tc>
        <w:tc>
          <w:tcPr>
            <w:tcW w:type="dxa" w:w="2340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Ventajas</w:t>
            </w:r>
          </w:p>
        </w:tc>
        <w:tc>
          <w:tcPr>
            <w:tcW w:type="dxa" w:w="2340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Limitaciones</w:t>
            </w:r>
          </w:p>
        </w:tc>
        <w:tc>
          <w:tcPr>
            <w:tcW w:type="dxa" w:w="2340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Recomendación</w:t>
            </w:r>
          </w:p>
        </w:tc>
      </w:tr>
      <w:tr>
        <w:trPr>
          <w:cantSplit w:val="1"/>
        </w:trPr>
        <w:tc>
          <w:tcPr>
            <w:tcW w:type="dxa" w:w="2340"/>
          </w:tcPr>
          <w:p>
            <w:pPr>
              <w:keepLines w:val="1"/>
              <w:keepNext w:val="1"/>
            </w:pPr>
            <w:r>
              <w:t>CAWI (web, auto-administrada)</w:t>
            </w:r>
          </w:p>
        </w:tc>
        <w:tc>
          <w:tcPr>
            <w:tcW w:type="dxa" w:w="2340"/>
          </w:tcPr>
          <w:p>
            <w:pPr>
              <w:keepLines w:val="1"/>
              <w:keepNext w:val="1"/>
            </w:pPr>
            <w:r>
              <w:t>Escalable, bajo coste, anónima</w:t>
            </w:r>
          </w:p>
        </w:tc>
        <w:tc>
          <w:tcPr>
            <w:tcW w:type="dxa" w:w="2340"/>
          </w:tcPr>
          <w:p>
            <w:pPr>
              <w:keepLines w:val="1"/>
              <w:keepNext w:val="1"/>
            </w:pPr>
            <w:r>
              <w:t>Baja tasa de respuesta, sesgo de auto-selección</w:t>
            </w:r>
          </w:p>
        </w:tc>
        <w:tc>
          <w:tcPr>
            <w:tcW w:type="dxa" w:w="2340"/>
          </w:tcPr>
          <w:p>
            <w:pPr>
              <w:keepLines w:val="1"/>
              <w:keepNext w:val="1"/>
            </w:pPr>
            <w:r>
              <w:t>Principal</w:t>
            </w:r>
          </w:p>
        </w:tc>
      </w:tr>
      <w:tr>
        <w:trPr>
          <w:cantSplit w:val="1"/>
        </w:trPr>
        <w:tc>
          <w:tcPr>
            <w:tcW w:type="dxa" w:w="2340"/>
          </w:tcPr>
          <w:p>
            <w:pPr>
              <w:keepLines w:val="1"/>
              <w:keepNext w:val="1"/>
            </w:pPr>
            <w:r>
              <w:t>CATI (telefónica asistida)</w:t>
            </w:r>
          </w:p>
        </w:tc>
        <w:tc>
          <w:tcPr>
            <w:tcW w:type="dxa" w:w="2340"/>
          </w:tcPr>
          <w:p>
            <w:pPr>
              <w:keepLines w:val="1"/>
              <w:keepNext w:val="1"/>
            </w:pPr>
            <w:r>
              <w:t>Mayor tasa de respuesta, clarificación</w:t>
            </w:r>
          </w:p>
        </w:tc>
        <w:tc>
          <w:tcPr>
            <w:tcW w:type="dxa" w:w="2340"/>
          </w:tcPr>
          <w:p>
            <w:pPr>
              <w:keepLines w:val="1"/>
              <w:keepNext w:val="1"/>
            </w:pPr>
            <w:r>
              <w:t>Costosa, sesgo del entrevistador</w:t>
            </w:r>
          </w:p>
        </w:tc>
        <w:tc>
          <w:tcPr>
            <w:tcW w:type="dxa" w:w="2340"/>
          </w:tcPr>
          <w:p>
            <w:pPr>
              <w:keepLines w:val="1"/>
              <w:keepNext w:val="1"/>
            </w:pPr>
            <w:r>
              <w:t>Complementaria</w:t>
            </w:r>
          </w:p>
        </w:tc>
      </w:tr>
      <w:tr>
        <w:trPr>
          <w:cantSplit w:val="1"/>
        </w:trPr>
        <w:tc>
          <w:tcPr>
            <w:tcW w:type="dxa" w:w="2340"/>
          </w:tcPr>
          <w:p>
            <w:pPr>
              <w:keepLines w:val="1"/>
              <w:keepNext w:val="1"/>
            </w:pPr>
            <w:r>
              <w:t>CAPI (presencial asistida)</w:t>
            </w:r>
          </w:p>
        </w:tc>
        <w:tc>
          <w:tcPr>
            <w:tcW w:type="dxa" w:w="2340"/>
          </w:tcPr>
          <w:p>
            <w:pPr>
              <w:keepLines w:val="1"/>
              <w:keepNext w:val="1"/>
            </w:pPr>
            <w:r>
              <w:t>Máxima calidad de datos</w:t>
            </w:r>
          </w:p>
        </w:tc>
        <w:tc>
          <w:tcPr>
            <w:tcW w:type="dxa" w:w="2340"/>
          </w:tcPr>
          <w:p>
            <w:pPr>
              <w:keepLines w:val="1"/>
              <w:keepNext w:val="1"/>
            </w:pPr>
            <w:r>
              <w:t>Muy costosa, muestra limitada</w:t>
            </w:r>
          </w:p>
        </w:tc>
        <w:tc>
          <w:tcPr>
            <w:tcW w:type="dxa" w:w="2340"/>
          </w:tcPr>
          <w:p>
            <w:pPr>
              <w:keepLines w:val="1"/>
              <w:keepNext w:val="1"/>
            </w:pPr>
            <w:r>
              <w:t>Casos cualitativos</w:t>
            </w:r>
          </w:p>
        </w:tc>
      </w:tr>
      <w:tr>
        <w:trPr>
          <w:cantSplit w:val="1"/>
        </w:trPr>
        <w:tc>
          <w:tcPr>
            <w:tcW w:type="dxa" w:w="2340"/>
          </w:tcPr>
          <w:p>
            <w:pPr>
              <w:keepLines w:val="1"/>
            </w:pPr>
            <w:r>
              <w:t>Panel online especializado</w:t>
            </w:r>
          </w:p>
        </w:tc>
        <w:tc>
          <w:tcPr>
            <w:tcW w:type="dxa" w:w="2340"/>
          </w:tcPr>
          <w:p>
            <w:pPr>
              <w:keepLines w:val="1"/>
            </w:pPr>
            <w:r>
              <w:t>Muestra controlada y cualificada</w:t>
            </w:r>
          </w:p>
        </w:tc>
        <w:tc>
          <w:tcPr>
            <w:tcW w:type="dxa" w:w="2340"/>
          </w:tcPr>
          <w:p>
            <w:pPr>
              <w:keepLines w:val="1"/>
            </w:pPr>
            <w:r>
              <w:t>Coste elevado, disponibilidad limitada</w:t>
            </w:r>
          </w:p>
        </w:tc>
        <w:tc>
          <w:tcPr>
            <w:tcW w:type="dxa" w:w="2340"/>
          </w:tcPr>
          <w:p>
            <w:pPr>
              <w:keepLines w:val="1"/>
            </w:pPr>
            <w:r>
              <w:t>Recomendada para B2B</w:t>
            </w:r>
          </w:p>
        </w:tc>
      </w:tr>
    </w:tbl>
    <w:p/>
    <w:p>
      <w:r>
        <w:rPr>
          <w:b/>
        </w:rPr>
        <w:t>Plataformas recomendadas para implementación CAWI:</w:t>
      </w:r>
      <w:r/>
      <w:r>
        <w:br/>
        <w:t>- Google Forms (opción económica, funcionalidades básicas)</w:t>
      </w:r>
      <w:r/>
      <w:r>
        <w:br/>
        <w:t>- Microsoft Forms (integración corporativa)</w:t>
      </w:r>
      <w:r/>
      <w:r>
        <w:br/>
        <w:t>- SurveyMonkey / Typeform (experiencia usuario superior)</w:t>
      </w:r>
      <w:r/>
      <w:r>
        <w:br/>
        <w:t>- LimeSurvey (open source, máximo control de datos — recomendado por RGPD)</w:t>
      </w:r>
      <w:r/>
      <w:r>
        <w:br/>
        <w:t>- Qualtrics (investigación académica avanzada)</w:t>
      </w:r>
    </w:p>
    <w:p>
      <w:pPr>
        <w:pStyle w:val="Heading3"/>
        <w:keepNext/>
        <w:keepLines/>
      </w:pPr>
      <w:r>
        <w:t>3.2. Cronograma Tipo de Campo</w:t>
      </w:r>
    </w:p>
    <w:p>
      <w:pPr>
        <w:pStyle w:val="NoSpacing"/>
        <w:keepLines/>
        <w:shd w:fill="F5F5F5"/>
      </w:pPr>
      <w:r>
        <w:rPr>
          <w:rFonts w:ascii="Courier New" w:hAnsi="Courier New"/>
          <w:sz w:val="18"/>
        </w:rPr>
        <w:t>Semana 1:   Diseño final y prueba piloto (n=10-15)</w:t>
        <w:br/>
        <w:t>Semana 2:   Ajustes basados en piloto + envío oleada 1</w:t>
        <w:br/>
        <w:t>Semanas 3-4: Ventana de respuesta + recordatorios (días 7 y 14)</w:t>
        <w:br/>
        <w:t>Semana 5:   Cierre de campo + verificación de calidad</w:t>
        <w:br/>
        <w:t>Semanas 6-7: Limpieza, codificación y análisis</w:t>
        <w:br/>
        <w:t>Semana 8:   Redacción de informe y reporte ejecutivo</w:t>
        <w:br/>
      </w:r>
    </w:p>
    <w:p>
      <w:pPr>
        <w:pStyle w:val="Heading3"/>
        <w:keepNext/>
        <w:keepLines/>
      </w:pPr>
      <w:r>
        <w:t>3.3. Incentivos y Tasas de Respuesta Esperadas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680"/>
        <w:gridCol w:w="4680"/>
      </w:tblGrid>
      <w:tr>
        <w:trPr>
          <w:cantSplit w:val="1"/>
        </w:trPr>
        <w:tc>
          <w:tcPr>
            <w:tcW w:type="dxa" w:w="4680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Estrategia de incentivo</w:t>
            </w:r>
          </w:p>
        </w:tc>
        <w:tc>
          <w:tcPr>
            <w:tcW w:type="dxa" w:w="4680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Tasa de respuesta esperada</w:t>
            </w:r>
          </w:p>
        </w:tc>
      </w:tr>
      <w:tr>
        <w:trPr>
          <w:cantSplit w:val="1"/>
        </w:trPr>
        <w:tc>
          <w:tcPr>
            <w:tcW w:type="dxa" w:w="4680"/>
          </w:tcPr>
          <w:p>
            <w:pPr>
              <w:keepLines w:val="1"/>
              <w:keepNext w:val="1"/>
            </w:pPr>
            <w:r>
              <w:t>Sin incentivo (fría)</w:t>
            </w:r>
          </w:p>
        </w:tc>
        <w:tc>
          <w:tcPr>
            <w:tcW w:type="dxa" w:w="4680"/>
          </w:tcPr>
          <w:p>
            <w:pPr>
              <w:keepLines w:val="1"/>
              <w:keepNext w:val="1"/>
            </w:pPr>
            <w:r>
              <w:t>5-10%</w:t>
            </w:r>
          </w:p>
        </w:tc>
      </w:tr>
      <w:tr>
        <w:trPr>
          <w:cantSplit w:val="1"/>
        </w:trPr>
        <w:tc>
          <w:tcPr>
            <w:tcW w:type="dxa" w:w="4680"/>
          </w:tcPr>
          <w:p>
            <w:pPr>
              <w:keepLines w:val="1"/>
              <w:keepNext w:val="1"/>
            </w:pPr>
            <w:r>
              <w:t>Acceso al informe agregado de resultados</w:t>
            </w:r>
          </w:p>
        </w:tc>
        <w:tc>
          <w:tcPr>
            <w:tcW w:type="dxa" w:w="4680"/>
          </w:tcPr>
          <w:p>
            <w:pPr>
              <w:keepLines w:val="1"/>
              <w:keepNext w:val="1"/>
            </w:pPr>
            <w:r>
              <w:t>15-25%</w:t>
            </w:r>
          </w:p>
        </w:tc>
      </w:tr>
      <w:tr>
        <w:trPr>
          <w:cantSplit w:val="1"/>
        </w:trPr>
        <w:tc>
          <w:tcPr>
            <w:tcW w:type="dxa" w:w="4680"/>
          </w:tcPr>
          <w:p>
            <w:pPr>
              <w:keepLines w:val="1"/>
              <w:keepNext w:val="1"/>
            </w:pPr>
            <w:r>
              <w:t>Benchmarking personalizado (comparativa sector)</w:t>
            </w:r>
          </w:p>
        </w:tc>
        <w:tc>
          <w:tcPr>
            <w:tcW w:type="dxa" w:w="4680"/>
          </w:tcPr>
          <w:p>
            <w:pPr>
              <w:keepLines w:val="1"/>
              <w:keepNext w:val="1"/>
            </w:pPr>
            <w:r>
              <w:t>25-35%</w:t>
            </w:r>
          </w:p>
        </w:tc>
      </w:tr>
      <w:tr>
        <w:trPr>
          <w:cantSplit w:val="1"/>
        </w:trPr>
        <w:tc>
          <w:tcPr>
            <w:tcW w:type="dxa" w:w="4680"/>
          </w:tcPr>
          <w:p>
            <w:pPr>
              <w:keepLines w:val="1"/>
              <w:keepNext w:val="1"/>
            </w:pPr>
            <w:r>
              <w:t>Webinar exclusivo de resultados</w:t>
            </w:r>
          </w:p>
        </w:tc>
        <w:tc>
          <w:tcPr>
            <w:tcW w:type="dxa" w:w="4680"/>
          </w:tcPr>
          <w:p>
            <w:pPr>
              <w:keepLines w:val="1"/>
              <w:keepNext w:val="1"/>
            </w:pPr>
            <w:r>
              <w:t>30-40%</w:t>
            </w:r>
          </w:p>
        </w:tc>
      </w:tr>
      <w:tr>
        <w:trPr>
          <w:cantSplit w:val="1"/>
        </w:trPr>
        <w:tc>
          <w:tcPr>
            <w:tcW w:type="dxa" w:w="4680"/>
          </w:tcPr>
          <w:p>
            <w:pPr>
              <w:keepLines w:val="1"/>
            </w:pPr>
            <w:r>
              <w:t>Combinación: informe + benchmarking</w:t>
            </w:r>
          </w:p>
        </w:tc>
        <w:tc>
          <w:tcPr>
            <w:tcW w:type="dxa" w:w="4680"/>
          </w:tcPr>
          <w:p>
            <w:pPr>
              <w:keepLines w:val="1"/>
            </w:pPr>
            <w:r>
              <w:t>35-45%</w:t>
            </w:r>
          </w:p>
        </w:tc>
      </w:tr>
    </w:tbl>
    <w:p/>
    <w:p>
      <w:pPr>
        <w:pStyle w:val="Heading2"/>
        <w:keepNext/>
        <w:keepLines/>
      </w:pPr>
      <w:r>
        <w:rPr>
          <w:color w:val="0066CC"/>
        </w:rPr>
        <w:t>4. CODIFICACIÓN Y PUNTUACIÓN</w:t>
      </w:r>
    </w:p>
    <w:p>
      <w:pPr>
        <w:pStyle w:val="Heading3"/>
        <w:keepNext/>
        <w:keepLines/>
      </w:pPr>
      <w:r>
        <w:t>4.1. Sistema de Puntuación por Bloque</w:t>
      </w:r>
    </w:p>
    <w:p>
      <w:pPr>
        <w:pStyle w:val="Heading4"/>
        <w:keepNext/>
        <w:keepLines/>
      </w:pPr>
      <w:r>
        <w:t>Preguntas de Escala Likert (madurez 1-5)</w:t>
      </w:r>
    </w:p>
    <w:p>
      <w:r>
        <w:t>Las preguntas P1.16, P2.14, P3.16 y P8.1 se puntúan directamente de 1 a 5.</w:t>
      </w:r>
    </w:p>
    <w:p>
      <w:pPr>
        <w:pStyle w:val="Heading4"/>
        <w:keepNext/>
        <w:keepLines/>
      </w:pPr>
      <w:r>
        <w:t>Preguntas de Opción Única con Peso de Madurez</w:t>
      </w:r>
    </w:p>
    <w:p>
      <w:r>
        <w:t>Cada opción de respuesta tiene asignado un peso de madurez implícito (1-5). El coordinador debe usar la siguiente tabla de conversión:</w:t>
      </w:r>
    </w:p>
    <w:p>
      <w:r>
        <w:rPr>
          <w:b/>
        </w:rPr>
        <w:t>Ejemplo — P1.1 (Cobertura MFA):</w:t>
      </w:r>
      <w:r/>
      <w:r>
        <w:br/>
        <w:t>| Respuesta | Puntuación |</w:t>
      </w:r>
      <w:r/>
      <w:r>
        <w:br/>
        <w:t>|---|---|</w:t>
      </w:r>
      <w:r/>
      <w:r>
        <w:br/>
        <w:t>| Menos del 25% | 1 |</w:t>
      </w:r>
      <w:r/>
      <w:r>
        <w:br/>
        <w:t>| Entre 25% y 50% | 2 |</w:t>
      </w:r>
      <w:r/>
      <w:r>
        <w:br/>
        <w:t>| Entre 51% y 75% | 3 |</w:t>
      </w:r>
      <w:r/>
      <w:r>
        <w:br/>
        <w:t>| Entre 76% y 90% | 4 |</w:t>
      </w:r>
      <w:r/>
      <w:r>
        <w:br/>
        <w:t>| Más del 90% | 4,5 |</w:t>
      </w:r>
      <w:r/>
      <w:r>
        <w:br/>
        <w:t>| 100%, incluidas cuentas privilegiadas | 5 |</w:t>
      </w:r>
    </w:p>
    <w:p>
      <w:r>
        <w:rPr>
          <w:b/>
        </w:rPr>
        <w:t>Ejemplo — P3.3 (RTO):</w:t>
      </w:r>
      <w:r/>
      <w:r>
        <w:br/>
        <w:t>| Respuesta | Puntuación |</w:t>
      </w:r>
      <w:r/>
      <w:r>
        <w:br/>
        <w:t>|---|---|</w:t>
      </w:r>
      <w:r/>
      <w:r>
        <w:br/>
        <w:t>| Menos de 15 minutos | 5 |</w:t>
      </w:r>
      <w:r/>
      <w:r>
        <w:br/>
        <w:t>| Entre 15 min y 1 hora | 4 |</w:t>
      </w:r>
      <w:r/>
      <w:r>
        <w:br/>
        <w:t>| Entre 1 y 4 horas | 3 |</w:t>
      </w:r>
      <w:r/>
      <w:r>
        <w:br/>
        <w:t>| Entre 4 y 24 horas | 2 |</w:t>
      </w:r>
      <w:r/>
      <w:r>
        <w:br/>
        <w:t>| Más de 24 horas | 1 |</w:t>
      </w:r>
      <w:r/>
      <w:r>
        <w:br/>
        <w:t>| Sin RTO definido | 0 (alerta crítica) |</w:t>
      </w:r>
    </w:p>
    <w:p>
      <w:pPr>
        <w:pStyle w:val="Heading3"/>
        <w:keepNext/>
        <w:keepLines/>
      </w:pPr>
      <w:r>
        <w:t>4.2. Cálculo del Índice Global de Madurez (IGM)</w:t>
      </w:r>
    </w:p>
    <w:p>
      <w:r>
        <w:t xml:space="preserve">El </w:t>
      </w:r>
      <w:r>
        <w:rPr>
          <w:b/>
        </w:rPr>
        <w:t>Índice Global de Madurez CIA (IGM-CIA)</w:t>
      </w:r>
      <w:r>
        <w:t xml:space="preserve"> se calcula como la media ponderada de los tres pilares:</w:t>
      </w:r>
    </w:p>
    <w:p>
      <w:pPr>
        <w:pStyle w:val="NoSpacing"/>
        <w:keepLines/>
        <w:shd w:fill="F5F5F5"/>
      </w:pPr>
      <w:r>
        <w:rPr>
          <w:rFonts w:ascii="Courier New" w:hAnsi="Courier New"/>
          <w:sz w:val="18"/>
        </w:rPr>
        <w:t>IGM-CIA = (w_C × P_C) + (w_I × P_I) + (w_A × P_A)</w:t>
        <w:br/>
      </w:r>
    </w:p>
    <w:p>
      <w:r>
        <w:t>Donde:</w:t>
      </w:r>
      <w:r/>
      <w:r>
        <w:br/>
        <w:t xml:space="preserve">- </w:t>
      </w:r>
      <w:r>
        <w:rPr>
          <w:rFonts w:ascii="Courier New" w:hAnsi="Courier New"/>
          <w:sz w:val="18"/>
        </w:rPr>
        <w:t>P_C</w:t>
      </w:r>
      <w:r>
        <w:t xml:space="preserve"> = Puntuación media de Confidencialidad (promedio de todas las preguntas del Bloque 1)</w:t>
      </w:r>
      <w:r/>
      <w:r>
        <w:br/>
        <w:t xml:space="preserve">- </w:t>
      </w:r>
      <w:r>
        <w:rPr>
          <w:rFonts w:ascii="Courier New" w:hAnsi="Courier New"/>
          <w:sz w:val="18"/>
        </w:rPr>
        <w:t>P_I</w:t>
      </w:r>
      <w:r>
        <w:t xml:space="preserve"> = Puntuación media de Integridad (promedio de todas las preguntas del Bloque 2)</w:t>
      </w:r>
      <w:r/>
      <w:r>
        <w:br/>
        <w:t xml:space="preserve">- </w:t>
      </w:r>
      <w:r>
        <w:rPr>
          <w:rFonts w:ascii="Courier New" w:hAnsi="Courier New"/>
          <w:sz w:val="18"/>
        </w:rPr>
        <w:t>P_A</w:t>
      </w:r>
      <w:r>
        <w:t xml:space="preserve"> = Puntuación media de Disponibilidad (promedio de todas las preguntas del Bloque 3)</w:t>
      </w:r>
    </w:p>
    <w:p>
      <w:r>
        <w:rPr>
          <w:b/>
        </w:rPr>
        <w:t>Ponderaciones por defecto (ajustables por sector):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rPr>
          <w:cantSplit w:val="1"/>
        </w:trPr>
        <w:tc>
          <w:tcPr>
            <w:tcW w:type="dxa" w:w="2340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Sector</w:t>
            </w:r>
          </w:p>
        </w:tc>
        <w:tc>
          <w:tcPr>
            <w:tcW w:type="dxa" w:w="2340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w_C</w:t>
            </w:r>
          </w:p>
        </w:tc>
        <w:tc>
          <w:tcPr>
            <w:tcW w:type="dxa" w:w="2340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w_I</w:t>
            </w:r>
          </w:p>
        </w:tc>
        <w:tc>
          <w:tcPr>
            <w:tcW w:type="dxa" w:w="2340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w_A</w:t>
            </w:r>
          </w:p>
        </w:tc>
      </w:tr>
      <w:tr>
        <w:trPr>
          <w:cantSplit w:val="1"/>
        </w:trPr>
        <w:tc>
          <w:tcPr>
            <w:tcW w:type="dxa" w:w="2340"/>
          </w:tcPr>
          <w:p>
            <w:pPr>
              <w:keepLines w:val="1"/>
              <w:keepNext w:val="1"/>
            </w:pPr>
            <w:r>
              <w:t>Banca / Finanzas</w:t>
            </w:r>
          </w:p>
        </w:tc>
        <w:tc>
          <w:tcPr>
            <w:tcW w:type="dxa" w:w="2340"/>
          </w:tcPr>
          <w:p>
            <w:pPr>
              <w:keepLines w:val="1"/>
              <w:keepNext w:val="1"/>
            </w:pPr>
            <w:r>
              <w:t>0,35</w:t>
            </w:r>
          </w:p>
        </w:tc>
        <w:tc>
          <w:tcPr>
            <w:tcW w:type="dxa" w:w="2340"/>
          </w:tcPr>
          <w:p>
            <w:pPr>
              <w:keepLines w:val="1"/>
              <w:keepNext w:val="1"/>
            </w:pPr>
            <w:r>
              <w:t>0,30</w:t>
            </w:r>
          </w:p>
        </w:tc>
        <w:tc>
          <w:tcPr>
            <w:tcW w:type="dxa" w:w="2340"/>
          </w:tcPr>
          <w:p>
            <w:pPr>
              <w:keepLines w:val="1"/>
              <w:keepNext w:val="1"/>
            </w:pPr>
            <w:r>
              <w:t>0,35</w:t>
            </w:r>
          </w:p>
        </w:tc>
      </w:tr>
      <w:tr>
        <w:trPr>
          <w:cantSplit w:val="1"/>
        </w:trPr>
        <w:tc>
          <w:tcPr>
            <w:tcW w:type="dxa" w:w="2340"/>
          </w:tcPr>
          <w:p>
            <w:pPr>
              <w:keepLines w:val="1"/>
              <w:keepNext w:val="1"/>
            </w:pPr>
            <w:r>
              <w:t>Salud</w:t>
            </w:r>
          </w:p>
        </w:tc>
        <w:tc>
          <w:tcPr>
            <w:tcW w:type="dxa" w:w="2340"/>
          </w:tcPr>
          <w:p>
            <w:pPr>
              <w:keepLines w:val="1"/>
              <w:keepNext w:val="1"/>
            </w:pPr>
            <w:r>
              <w:t>0,40</w:t>
            </w:r>
          </w:p>
        </w:tc>
        <w:tc>
          <w:tcPr>
            <w:tcW w:type="dxa" w:w="2340"/>
          </w:tcPr>
          <w:p>
            <w:pPr>
              <w:keepLines w:val="1"/>
              <w:keepNext w:val="1"/>
            </w:pPr>
            <w:r>
              <w:t>0,35</w:t>
            </w:r>
          </w:p>
        </w:tc>
        <w:tc>
          <w:tcPr>
            <w:tcW w:type="dxa" w:w="2340"/>
          </w:tcPr>
          <w:p>
            <w:pPr>
              <w:keepLines w:val="1"/>
              <w:keepNext w:val="1"/>
            </w:pPr>
            <w:r>
              <w:t>0,25</w:t>
            </w:r>
          </w:p>
        </w:tc>
      </w:tr>
      <w:tr>
        <w:trPr>
          <w:cantSplit w:val="1"/>
        </w:trPr>
        <w:tc>
          <w:tcPr>
            <w:tcW w:type="dxa" w:w="2340"/>
          </w:tcPr>
          <w:p>
            <w:pPr>
              <w:keepLines w:val="1"/>
              <w:keepNext w:val="1"/>
            </w:pPr>
            <w:r>
              <w:t>Energía / Utilities</w:t>
            </w:r>
          </w:p>
        </w:tc>
        <w:tc>
          <w:tcPr>
            <w:tcW w:type="dxa" w:w="2340"/>
          </w:tcPr>
          <w:p>
            <w:pPr>
              <w:keepLines w:val="1"/>
              <w:keepNext w:val="1"/>
            </w:pPr>
            <w:r>
              <w:t>0,25</w:t>
            </w:r>
          </w:p>
        </w:tc>
        <w:tc>
          <w:tcPr>
            <w:tcW w:type="dxa" w:w="2340"/>
          </w:tcPr>
          <w:p>
            <w:pPr>
              <w:keepLines w:val="1"/>
              <w:keepNext w:val="1"/>
            </w:pPr>
            <w:r>
              <w:t>0,30</w:t>
            </w:r>
          </w:p>
        </w:tc>
        <w:tc>
          <w:tcPr>
            <w:tcW w:type="dxa" w:w="2340"/>
          </w:tcPr>
          <w:p>
            <w:pPr>
              <w:keepLines w:val="1"/>
              <w:keepNext w:val="1"/>
            </w:pPr>
            <w:r>
              <w:t>0,45</w:t>
            </w:r>
          </w:p>
        </w:tc>
      </w:tr>
      <w:tr>
        <w:trPr>
          <w:cantSplit w:val="1"/>
        </w:trPr>
        <w:tc>
          <w:tcPr>
            <w:tcW w:type="dxa" w:w="2340"/>
          </w:tcPr>
          <w:p>
            <w:pPr>
              <w:keepLines w:val="1"/>
              <w:keepNext w:val="1"/>
            </w:pPr>
            <w:r>
              <w:t>Administración Pública</w:t>
            </w:r>
          </w:p>
        </w:tc>
        <w:tc>
          <w:tcPr>
            <w:tcW w:type="dxa" w:w="2340"/>
          </w:tcPr>
          <w:p>
            <w:pPr>
              <w:keepLines w:val="1"/>
              <w:keepNext w:val="1"/>
            </w:pPr>
            <w:r>
              <w:t>0,35</w:t>
            </w:r>
          </w:p>
        </w:tc>
        <w:tc>
          <w:tcPr>
            <w:tcW w:type="dxa" w:w="2340"/>
          </w:tcPr>
          <w:p>
            <w:pPr>
              <w:keepLines w:val="1"/>
              <w:keepNext w:val="1"/>
            </w:pPr>
            <w:r>
              <w:t>0,35</w:t>
            </w:r>
          </w:p>
        </w:tc>
        <w:tc>
          <w:tcPr>
            <w:tcW w:type="dxa" w:w="2340"/>
          </w:tcPr>
          <w:p>
            <w:pPr>
              <w:keepLines w:val="1"/>
              <w:keepNext w:val="1"/>
            </w:pPr>
            <w:r>
              <w:t>0,30</w:t>
            </w:r>
          </w:p>
        </w:tc>
      </w:tr>
      <w:tr>
        <w:trPr>
          <w:cantSplit w:val="1"/>
        </w:trPr>
        <w:tc>
          <w:tcPr>
            <w:tcW w:type="dxa" w:w="2340"/>
          </w:tcPr>
          <w:p>
            <w:pPr>
              <w:keepLines w:val="1"/>
              <w:keepNext w:val="1"/>
            </w:pPr>
            <w:r>
              <w:t>TIC / Telecomunicaciones</w:t>
            </w:r>
          </w:p>
        </w:tc>
        <w:tc>
          <w:tcPr>
            <w:tcW w:type="dxa" w:w="2340"/>
          </w:tcPr>
          <w:p>
            <w:pPr>
              <w:keepLines w:val="1"/>
              <w:keepNext w:val="1"/>
            </w:pPr>
            <w:r>
              <w:t>0,30</w:t>
            </w:r>
          </w:p>
        </w:tc>
        <w:tc>
          <w:tcPr>
            <w:tcW w:type="dxa" w:w="2340"/>
          </w:tcPr>
          <w:p>
            <w:pPr>
              <w:keepLines w:val="1"/>
              <w:keepNext w:val="1"/>
            </w:pPr>
            <w:r>
              <w:t>0,30</w:t>
            </w:r>
          </w:p>
        </w:tc>
        <w:tc>
          <w:tcPr>
            <w:tcW w:type="dxa" w:w="2340"/>
          </w:tcPr>
          <w:p>
            <w:pPr>
              <w:keepLines w:val="1"/>
              <w:keepNext w:val="1"/>
            </w:pPr>
            <w:r>
              <w:t>0,40</w:t>
            </w:r>
          </w:p>
        </w:tc>
      </w:tr>
      <w:tr>
        <w:trPr>
          <w:cantSplit w:val="1"/>
        </w:trPr>
        <w:tc>
          <w:tcPr>
            <w:tcW w:type="dxa" w:w="2340"/>
          </w:tcPr>
          <w:p>
            <w:pPr>
              <w:keepLines w:val="1"/>
              <w:keepNext w:val="1"/>
            </w:pPr>
            <w:r>
              <w:t>Industria / Manufactura</w:t>
            </w:r>
          </w:p>
        </w:tc>
        <w:tc>
          <w:tcPr>
            <w:tcW w:type="dxa" w:w="2340"/>
          </w:tcPr>
          <w:p>
            <w:pPr>
              <w:keepLines w:val="1"/>
              <w:keepNext w:val="1"/>
            </w:pPr>
            <w:r>
              <w:t>0,30</w:t>
            </w:r>
          </w:p>
        </w:tc>
        <w:tc>
          <w:tcPr>
            <w:tcW w:type="dxa" w:w="2340"/>
          </w:tcPr>
          <w:p>
            <w:pPr>
              <w:keepLines w:val="1"/>
              <w:keepNext w:val="1"/>
            </w:pPr>
            <w:r>
              <w:t>0,35</w:t>
            </w:r>
          </w:p>
        </w:tc>
        <w:tc>
          <w:tcPr>
            <w:tcW w:type="dxa" w:w="2340"/>
          </w:tcPr>
          <w:p>
            <w:pPr>
              <w:keepLines w:val="1"/>
              <w:keepNext w:val="1"/>
            </w:pPr>
            <w:r>
              <w:t>0,35</w:t>
            </w:r>
          </w:p>
        </w:tc>
      </w:tr>
      <w:tr>
        <w:trPr>
          <w:cantSplit w:val="1"/>
        </w:trPr>
        <w:tc>
          <w:tcPr>
            <w:tcW w:type="dxa" w:w="2340"/>
          </w:tcPr>
          <w:p>
            <w:pPr>
              <w:keepLines w:val="1"/>
            </w:pPr>
            <w:r>
              <w:t>Genérico</w:t>
            </w:r>
          </w:p>
        </w:tc>
        <w:tc>
          <w:tcPr>
            <w:tcW w:type="dxa" w:w="2340"/>
          </w:tcPr>
          <w:p>
            <w:pPr>
              <w:keepLines w:val="1"/>
            </w:pPr>
            <w:r>
              <w:t>0,33</w:t>
            </w:r>
          </w:p>
        </w:tc>
        <w:tc>
          <w:tcPr>
            <w:tcW w:type="dxa" w:w="2340"/>
          </w:tcPr>
          <w:p>
            <w:pPr>
              <w:keepLines w:val="1"/>
            </w:pPr>
            <w:r>
              <w:t>0,33</w:t>
            </w:r>
          </w:p>
        </w:tc>
        <w:tc>
          <w:tcPr>
            <w:tcW w:type="dxa" w:w="2340"/>
          </w:tcPr>
          <w:p>
            <w:pPr>
              <w:keepLines w:val="1"/>
            </w:pPr>
            <w:r>
              <w:t>0,34</w:t>
            </w:r>
          </w:p>
        </w:tc>
      </w:tr>
    </w:tbl>
    <w:p/>
    <w:p>
      <w:r>
        <w:rPr>
          <w:b/>
        </w:rPr>
        <w:t>Interpretación del IGM-CIA: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rPr>
          <w:cantSplit w:val="1"/>
        </w:trPr>
        <w:tc>
          <w:tcPr>
            <w:tcW w:type="dxa" w:w="2340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Rango IGM</w:t>
            </w:r>
          </w:p>
        </w:tc>
        <w:tc>
          <w:tcPr>
            <w:tcW w:type="dxa" w:w="2340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Nivel</w:t>
            </w:r>
          </w:p>
        </w:tc>
        <w:tc>
          <w:tcPr>
            <w:tcW w:type="dxa" w:w="2340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Interpretación</w:t>
            </w:r>
          </w:p>
        </w:tc>
        <w:tc>
          <w:tcPr>
            <w:tcW w:type="dxa" w:w="2340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Acción Recomendada</w:t>
            </w:r>
          </w:p>
        </w:tc>
      </w:tr>
      <w:tr>
        <w:trPr>
          <w:cantSplit w:val="1"/>
        </w:trPr>
        <w:tc>
          <w:tcPr>
            <w:tcW w:type="dxa" w:w="2340"/>
          </w:tcPr>
          <w:p>
            <w:pPr>
              <w:keepLines w:val="1"/>
              <w:keepNext w:val="1"/>
            </w:pPr>
            <w:r>
              <w:t>1,0 – 1,9</w:t>
            </w:r>
          </w:p>
        </w:tc>
        <w:tc>
          <w:tcPr>
            <w:tcW w:type="dxa" w:w="2340"/>
          </w:tcPr>
          <w:p>
            <w:pPr>
              <w:keepLines w:val="1"/>
              <w:keepNext w:val="1"/>
            </w:pPr>
            <w:r>
              <w:t>Crítico</w:t>
            </w:r>
          </w:p>
        </w:tc>
        <w:tc>
          <w:tcPr>
            <w:tcW w:type="dxa" w:w="2340"/>
          </w:tcPr>
          <w:p>
            <w:pPr>
              <w:keepLines w:val="1"/>
              <w:keepNext w:val="1"/>
            </w:pPr>
            <w:r>
              <w:t>Exposición severa, múltiples vectores de ataque</w:t>
            </w:r>
          </w:p>
        </w:tc>
        <w:tc>
          <w:tcPr>
            <w:tcW w:type="dxa" w:w="2340"/>
          </w:tcPr>
          <w:p>
            <w:pPr>
              <w:keepLines w:val="1"/>
              <w:keepNext w:val="1"/>
            </w:pPr>
            <w:r>
              <w:t>Plan de emergencia inmediato</w:t>
            </w:r>
          </w:p>
        </w:tc>
      </w:tr>
      <w:tr>
        <w:trPr>
          <w:cantSplit w:val="1"/>
        </w:trPr>
        <w:tc>
          <w:tcPr>
            <w:tcW w:type="dxa" w:w="2340"/>
          </w:tcPr>
          <w:p>
            <w:pPr>
              <w:keepLines w:val="1"/>
              <w:keepNext w:val="1"/>
            </w:pPr>
            <w:r>
              <w:t>2,0 – 2,9</w:t>
            </w:r>
          </w:p>
        </w:tc>
        <w:tc>
          <w:tcPr>
            <w:tcW w:type="dxa" w:w="2340"/>
          </w:tcPr>
          <w:p>
            <w:pPr>
              <w:keepLines w:val="1"/>
              <w:keepNext w:val="1"/>
            </w:pPr>
            <w:r>
              <w:t>Deficiente</w:t>
            </w:r>
          </w:p>
        </w:tc>
        <w:tc>
          <w:tcPr>
            <w:tcW w:type="dxa" w:w="2340"/>
          </w:tcPr>
          <w:p>
            <w:pPr>
              <w:keepLines w:val="1"/>
              <w:keepNext w:val="1"/>
            </w:pPr>
            <w:r>
              <w:t>Controles básicos, brechas sistémicas</w:t>
            </w:r>
          </w:p>
        </w:tc>
        <w:tc>
          <w:tcPr>
            <w:tcW w:type="dxa" w:w="2340"/>
          </w:tcPr>
          <w:p>
            <w:pPr>
              <w:keepLines w:val="1"/>
              <w:keepNext w:val="1"/>
            </w:pPr>
            <w:r>
              <w:t>Plan de mejora prioritario (6 meses)</w:t>
            </w:r>
          </w:p>
        </w:tc>
      </w:tr>
      <w:tr>
        <w:trPr>
          <w:cantSplit w:val="1"/>
        </w:trPr>
        <w:tc>
          <w:tcPr>
            <w:tcW w:type="dxa" w:w="2340"/>
          </w:tcPr>
          <w:p>
            <w:pPr>
              <w:keepLines w:val="1"/>
              <w:keepNext w:val="1"/>
            </w:pPr>
            <w:r>
              <w:t>3,0 – 3,9</w:t>
            </w:r>
          </w:p>
        </w:tc>
        <w:tc>
          <w:tcPr>
            <w:tcW w:type="dxa" w:w="2340"/>
          </w:tcPr>
          <w:p>
            <w:pPr>
              <w:keepLines w:val="1"/>
              <w:keepNext w:val="1"/>
            </w:pPr>
            <w:r>
              <w:t>En desarrollo</w:t>
            </w:r>
          </w:p>
        </w:tc>
        <w:tc>
          <w:tcPr>
            <w:tcW w:type="dxa" w:w="2340"/>
          </w:tcPr>
          <w:p>
            <w:pPr>
              <w:keepLines w:val="1"/>
              <w:keepNext w:val="1"/>
            </w:pPr>
            <w:r>
              <w:t>Marco establecido, ejecución irregular</w:t>
            </w:r>
          </w:p>
        </w:tc>
        <w:tc>
          <w:tcPr>
            <w:tcW w:type="dxa" w:w="2340"/>
          </w:tcPr>
          <w:p>
            <w:pPr>
              <w:keepLines w:val="1"/>
              <w:keepNext w:val="1"/>
            </w:pPr>
            <w:r>
              <w:t>Hoja de ruta de madurez (12 meses)</w:t>
            </w:r>
          </w:p>
        </w:tc>
      </w:tr>
      <w:tr>
        <w:trPr>
          <w:cantSplit w:val="1"/>
        </w:trPr>
        <w:tc>
          <w:tcPr>
            <w:tcW w:type="dxa" w:w="2340"/>
          </w:tcPr>
          <w:p>
            <w:pPr>
              <w:keepLines w:val="1"/>
              <w:keepNext w:val="1"/>
            </w:pPr>
            <w:r>
              <w:t>4,0 – 4,4</w:t>
            </w:r>
          </w:p>
        </w:tc>
        <w:tc>
          <w:tcPr>
            <w:tcW w:type="dxa" w:w="2340"/>
          </w:tcPr>
          <w:p>
            <w:pPr>
              <w:keepLines w:val="1"/>
              <w:keepNext w:val="1"/>
            </w:pPr>
            <w:r>
              <w:t>Competente</w:t>
            </w:r>
          </w:p>
        </w:tc>
        <w:tc>
          <w:tcPr>
            <w:tcW w:type="dxa" w:w="2340"/>
          </w:tcPr>
          <w:p>
            <w:pPr>
              <w:keepLines w:val="1"/>
              <w:keepNext w:val="1"/>
            </w:pPr>
            <w:r>
              <w:t>Controles sólidos, mejora continua</w:t>
            </w:r>
          </w:p>
        </w:tc>
        <w:tc>
          <w:tcPr>
            <w:tcW w:type="dxa" w:w="2340"/>
          </w:tcPr>
          <w:p>
            <w:pPr>
              <w:keepLines w:val="1"/>
              <w:keepNext w:val="1"/>
            </w:pPr>
            <w:r>
              <w:t>Optimización y benchmarking</w:t>
            </w:r>
          </w:p>
        </w:tc>
      </w:tr>
      <w:tr>
        <w:trPr>
          <w:cantSplit w:val="1"/>
        </w:trPr>
        <w:tc>
          <w:tcPr>
            <w:tcW w:type="dxa" w:w="2340"/>
          </w:tcPr>
          <w:p>
            <w:pPr>
              <w:keepLines w:val="1"/>
            </w:pPr>
            <w:r>
              <w:t>4,5 – 5,0</w:t>
            </w:r>
          </w:p>
        </w:tc>
        <w:tc>
          <w:tcPr>
            <w:tcW w:type="dxa" w:w="2340"/>
          </w:tcPr>
          <w:p>
            <w:pPr>
              <w:keepLines w:val="1"/>
            </w:pPr>
            <w:r>
              <w:t>Líder</w:t>
            </w:r>
          </w:p>
        </w:tc>
        <w:tc>
          <w:tcPr>
            <w:tcW w:type="dxa" w:w="2340"/>
          </w:tcPr>
          <w:p>
            <w:pPr>
              <w:keepLines w:val="1"/>
            </w:pPr>
            <w:r>
              <w:t>Madurez avanzada, referente sectorial</w:t>
            </w:r>
          </w:p>
        </w:tc>
        <w:tc>
          <w:tcPr>
            <w:tcW w:type="dxa" w:w="2340"/>
          </w:tcPr>
          <w:p>
            <w:pPr>
              <w:keepLines w:val="1"/>
            </w:pPr>
            <w:r>
              <w:t>Participación en compartición de intel</w:t>
            </w:r>
          </w:p>
        </w:tc>
      </w:tr>
    </w:tbl>
    <w:p/>
    <w:p>
      <w:pPr>
        <w:pStyle w:val="Heading3"/>
        <w:keepNext/>
        <w:keepLines/>
      </w:pPr>
      <w:r>
        <w:t>4.3. Indicadores Automáticos de Alerta</w:t>
      </w:r>
    </w:p>
    <w:p>
      <w:r>
        <w:t xml:space="preserve">Las siguientes respuestas deben generar una </w:t>
      </w:r>
      <w:r>
        <w:rPr>
          <w:b/>
        </w:rPr>
        <w:t>alerta roja automática</w:t>
      </w:r>
      <w:r>
        <w:t xml:space="preserve"> independientemente del IGM: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rPr>
          <w:cantSplit w:val="1"/>
        </w:trPr>
        <w:tc>
          <w:tcPr>
            <w:tcW w:type="dxa" w:w="3120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Pregunta</w:t>
            </w:r>
          </w:p>
        </w:tc>
        <w:tc>
          <w:tcPr>
            <w:tcW w:type="dxa" w:w="3120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Respuesta de Alerta</w:t>
            </w:r>
          </w:p>
        </w:tc>
        <w:tc>
          <w:tcPr>
            <w:tcW w:type="dxa" w:w="3120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Riesgo Asociado</w:t>
            </w:r>
          </w:p>
        </w:tc>
      </w:tr>
      <w:tr>
        <w:trPr>
          <w:cantSplit w:val="1"/>
        </w:trPr>
        <w:tc>
          <w:tcPr>
            <w:tcW w:type="dxa" w:w="3120"/>
          </w:tcPr>
          <w:p>
            <w:pPr>
              <w:keepLines w:val="1"/>
              <w:keepNext w:val="1"/>
            </w:pPr>
            <w:r>
              <w:t>P1.5</w:t>
            </w:r>
          </w:p>
        </w:tc>
        <w:tc>
          <w:tcPr>
            <w:tcW w:type="dxa" w:w="3120"/>
          </w:tcPr>
          <w:p>
            <w:pPr>
              <w:keepLines w:val="1"/>
              <w:keepNext w:val="1"/>
            </w:pPr>
            <w:r>
              <w:t>"Cuentas de administrador compartidas sin rotación"</w:t>
            </w:r>
          </w:p>
        </w:tc>
        <w:tc>
          <w:tcPr>
            <w:tcW w:type="dxa" w:w="3120"/>
          </w:tcPr>
          <w:p>
            <w:pPr>
              <w:keepLines w:val="1"/>
              <w:keepNext w:val="1"/>
            </w:pPr>
            <w:r>
              <w:t>Compromiso de privilegios inminente</w:t>
            </w:r>
          </w:p>
        </w:tc>
      </w:tr>
      <w:tr>
        <w:trPr>
          <w:cantSplit w:val="1"/>
        </w:trPr>
        <w:tc>
          <w:tcPr>
            <w:tcW w:type="dxa" w:w="3120"/>
          </w:tcPr>
          <w:p>
            <w:pPr>
              <w:keepLines w:val="1"/>
              <w:keepNext w:val="1"/>
            </w:pPr>
            <w:r>
              <w:t>P1.8</w:t>
            </w:r>
          </w:p>
        </w:tc>
        <w:tc>
          <w:tcPr>
            <w:tcW w:type="dxa" w:w="3120"/>
          </w:tcPr>
          <w:p>
            <w:pPr>
              <w:keepLines w:val="1"/>
              <w:keepNext w:val="1"/>
            </w:pPr>
            <w:r>
              <w:t>"3DES u otros algoritmos legacy"</w:t>
            </w:r>
          </w:p>
        </w:tc>
        <w:tc>
          <w:tcPr>
            <w:tcW w:type="dxa" w:w="3120"/>
          </w:tcPr>
          <w:p>
            <w:pPr>
              <w:keepLines w:val="1"/>
              <w:keepNext w:val="1"/>
            </w:pPr>
            <w:r>
              <w:t>Vulnerabilidad criptográfica crítica</w:t>
            </w:r>
          </w:p>
        </w:tc>
      </w:tr>
      <w:tr>
        <w:trPr>
          <w:cantSplit w:val="1"/>
        </w:trPr>
        <w:tc>
          <w:tcPr>
            <w:tcW w:type="dxa" w:w="3120"/>
          </w:tcPr>
          <w:p>
            <w:pPr>
              <w:keepLines w:val="1"/>
              <w:keepNext w:val="1"/>
            </w:pPr>
            <w:r>
              <w:t>P2.3</w:t>
            </w:r>
          </w:p>
        </w:tc>
        <w:tc>
          <w:tcPr>
            <w:tcW w:type="dxa" w:w="3120"/>
          </w:tcPr>
          <w:p>
            <w:pPr>
              <w:keepLines w:val="1"/>
              <w:keepNext w:val="1"/>
            </w:pPr>
            <w:r>
              <w:t>"Más de 90 días de parcheo"</w:t>
            </w:r>
          </w:p>
        </w:tc>
        <w:tc>
          <w:tcPr>
            <w:tcW w:type="dxa" w:w="3120"/>
          </w:tcPr>
          <w:p>
            <w:pPr>
              <w:keepLines w:val="1"/>
              <w:keepNext w:val="1"/>
            </w:pPr>
            <w:r>
              <w:t>Exposición CVE crítica activa</w:t>
            </w:r>
          </w:p>
        </w:tc>
      </w:tr>
      <w:tr>
        <w:trPr>
          <w:cantSplit w:val="1"/>
        </w:trPr>
        <w:tc>
          <w:tcPr>
            <w:tcW w:type="dxa" w:w="3120"/>
          </w:tcPr>
          <w:p>
            <w:pPr>
              <w:keepLines w:val="1"/>
              <w:keepNext w:val="1"/>
            </w:pPr>
            <w:r>
              <w:t>P3.5</w:t>
            </w:r>
          </w:p>
        </w:tc>
        <w:tc>
          <w:tcPr>
            <w:tcW w:type="dxa" w:w="3120"/>
          </w:tcPr>
          <w:p>
            <w:pPr>
              <w:keepLines w:val="1"/>
              <w:keepNext w:val="1"/>
            </w:pPr>
            <w:r>
              <w:t>"No recordamos última verificación"</w:t>
            </w:r>
          </w:p>
        </w:tc>
        <w:tc>
          <w:tcPr>
            <w:tcW w:type="dxa" w:w="3120"/>
          </w:tcPr>
          <w:p>
            <w:pPr>
              <w:keepLines w:val="1"/>
              <w:keepNext w:val="1"/>
            </w:pPr>
            <w:r>
              <w:t>Riesgo de BCP inoperante</w:t>
            </w:r>
          </w:p>
        </w:tc>
      </w:tr>
      <w:tr>
        <w:trPr>
          <w:cantSplit w:val="1"/>
        </w:trPr>
        <w:tc>
          <w:tcPr>
            <w:tcW w:type="dxa" w:w="3120"/>
          </w:tcPr>
          <w:p>
            <w:pPr>
              <w:keepLines w:val="1"/>
              <w:keepNext w:val="1"/>
            </w:pPr>
            <w:r>
              <w:t>P3.7</w:t>
            </w:r>
          </w:p>
        </w:tc>
        <w:tc>
          <w:tcPr>
            <w:tcW w:type="dxa" w:w="3120"/>
          </w:tcPr>
          <w:p>
            <w:pPr>
              <w:keepLines w:val="1"/>
              <w:keepNext w:val="1"/>
            </w:pPr>
            <w:r>
              <w:t>"Nos enteramos de los incidentes por usuarios"</w:t>
            </w:r>
          </w:p>
        </w:tc>
        <w:tc>
          <w:tcPr>
            <w:tcW w:type="dxa" w:w="3120"/>
          </w:tcPr>
          <w:p>
            <w:pPr>
              <w:keepLines w:val="1"/>
              <w:keepNext w:val="1"/>
            </w:pPr>
            <w:r>
              <w:t>Sin capacidad de detección</w:t>
            </w:r>
          </w:p>
        </w:tc>
      </w:tr>
      <w:tr>
        <w:trPr>
          <w:cantSplit w:val="1"/>
        </w:trPr>
        <w:tc>
          <w:tcPr>
            <w:tcW w:type="dxa" w:w="3120"/>
          </w:tcPr>
          <w:p>
            <w:pPr>
              <w:keepLines w:val="1"/>
              <w:keepNext w:val="1"/>
            </w:pPr>
            <w:r>
              <w:t>P3.1</w:t>
            </w:r>
          </w:p>
        </w:tc>
        <w:tc>
          <w:tcPr>
            <w:tcW w:type="dxa" w:w="3120"/>
          </w:tcPr>
          <w:p>
            <w:pPr>
              <w:keepLines w:val="1"/>
              <w:keepNext w:val="1"/>
            </w:pPr>
            <w:r>
              <w:t>"No existe BCP formal"</w:t>
            </w:r>
          </w:p>
        </w:tc>
        <w:tc>
          <w:tcPr>
            <w:tcW w:type="dxa" w:w="3120"/>
          </w:tcPr>
          <w:p>
            <w:pPr>
              <w:keepLines w:val="1"/>
              <w:keepNext w:val="1"/>
            </w:pPr>
            <w:r>
              <w:t>Riesgo de continuidad crítico</w:t>
            </w:r>
          </w:p>
        </w:tc>
      </w:tr>
      <w:tr>
        <w:trPr>
          <w:cantSplit w:val="1"/>
        </w:trPr>
        <w:tc>
          <w:tcPr>
            <w:tcW w:type="dxa" w:w="3120"/>
          </w:tcPr>
          <w:p>
            <w:pPr>
              <w:keepLines w:val="1"/>
            </w:pPr>
            <w:r>
              <w:t>P5.3</w:t>
            </w:r>
          </w:p>
        </w:tc>
        <w:tc>
          <w:tcPr>
            <w:tcW w:type="dxa" w:w="3120"/>
          </w:tcPr>
          <w:p>
            <w:pPr>
              <w:keepLines w:val="1"/>
            </w:pPr>
            <w:r>
              <w:t>"No somos conscientes de los requisitos"</w:t>
            </w:r>
          </w:p>
        </w:tc>
        <w:tc>
          <w:tcPr>
            <w:tcW w:type="dxa" w:w="3120"/>
          </w:tcPr>
          <w:p>
            <w:pPr>
              <w:keepLines w:val="1"/>
            </w:pPr>
            <w:r>
              <w:t>Riesgo regulatorio / sanción</w:t>
            </w:r>
          </w:p>
        </w:tc>
      </w:tr>
    </w:tbl>
    <w:p/>
    <w:p>
      <w:pPr>
        <w:pStyle w:val="Heading2"/>
        <w:keepNext/>
        <w:keepLines/>
      </w:pPr>
      <w:r>
        <w:rPr>
          <w:color w:val="0066CC"/>
        </w:rPr>
        <w:t>5. ANÁLISIS ESTADÍSTICO</w:t>
      </w:r>
    </w:p>
    <w:p>
      <w:pPr>
        <w:pStyle w:val="Heading3"/>
        <w:keepNext/>
        <w:keepLines/>
      </w:pPr>
      <w:r>
        <w:t>5.1. Estadísticos Descriptivos por Variable</w:t>
      </w:r>
    </w:p>
    <w:p>
      <w:r>
        <w:t>Para cada ítem de escala, calcular:</w:t>
      </w:r>
      <w:r/>
      <w:r>
        <w:br/>
        <w:t>- Media aritmética (μ)</w:t>
      </w:r>
      <w:r/>
      <w:r>
        <w:br/>
        <w:t>- Desviación estándar (σ)</w:t>
      </w:r>
      <w:r/>
      <w:r>
        <w:br/>
        <w:t>- Mediana y moda</w:t>
      </w:r>
      <w:r/>
      <w:r>
        <w:br/>
        <w:t>- Distribución de frecuencias por categoría</w:t>
      </w:r>
      <w:r/>
      <w:r>
        <w:br/>
        <w:t>- Intervalos de confianza al 95%</w:t>
      </w:r>
    </w:p>
    <w:p>
      <w:pPr>
        <w:pStyle w:val="Heading3"/>
        <w:keepNext/>
        <w:keepLines/>
      </w:pPr>
      <w:r>
        <w:t>5.2. Análisis Comparativo</w:t>
      </w:r>
    </w:p>
    <w:p>
      <w:r>
        <w:rPr>
          <w:b/>
        </w:rPr>
        <w:t>Tests estadísticos recomendados: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rPr>
          <w:cantSplit w:val="1"/>
        </w:trPr>
        <w:tc>
          <w:tcPr>
            <w:tcW w:type="dxa" w:w="3120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Comparación</w:t>
            </w:r>
          </w:p>
        </w:tc>
        <w:tc>
          <w:tcPr>
            <w:tcW w:type="dxa" w:w="3120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Test Recomendado</w:t>
            </w:r>
          </w:p>
        </w:tc>
        <w:tc>
          <w:tcPr>
            <w:tcW w:type="dxa" w:w="3120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Condición</w:t>
            </w:r>
          </w:p>
        </w:tc>
      </w:tr>
      <w:tr>
        <w:trPr>
          <w:cantSplit w:val="1"/>
        </w:trPr>
        <w:tc>
          <w:tcPr>
            <w:tcW w:type="dxa" w:w="3120"/>
          </w:tcPr>
          <w:p>
            <w:pPr>
              <w:keepLines w:val="1"/>
              <w:keepNext w:val="1"/>
            </w:pPr>
            <w:r>
              <w:t>IGM por sector (k &gt; 2 grupos)</w:t>
            </w:r>
          </w:p>
        </w:tc>
        <w:tc>
          <w:tcPr>
            <w:tcW w:type="dxa" w:w="3120"/>
          </w:tcPr>
          <w:p>
            <w:pPr>
              <w:keepLines w:val="1"/>
              <w:keepNext w:val="1"/>
            </w:pPr>
            <w:r>
              <w:t>ANOVA de un factor + Tukey HSD</w:t>
            </w:r>
          </w:p>
        </w:tc>
        <w:tc>
          <w:tcPr>
            <w:tcW w:type="dxa" w:w="3120"/>
          </w:tcPr>
          <w:p>
            <w:pPr>
              <w:keepLines w:val="1"/>
              <w:keepNext w:val="1"/>
            </w:pPr>
            <w:r>
              <w:t>Distribución normal</w:t>
            </w:r>
          </w:p>
        </w:tc>
      </w:tr>
      <w:tr>
        <w:trPr>
          <w:cantSplit w:val="1"/>
        </w:trPr>
        <w:tc>
          <w:tcPr>
            <w:tcW w:type="dxa" w:w="3120"/>
          </w:tcPr>
          <w:p>
            <w:pPr>
              <w:keepLines w:val="1"/>
              <w:keepNext w:val="1"/>
            </w:pPr>
            <w:r>
              <w:t>IGM por tamaño</w:t>
            </w:r>
          </w:p>
        </w:tc>
        <w:tc>
          <w:tcPr>
            <w:tcW w:type="dxa" w:w="3120"/>
          </w:tcPr>
          <w:p>
            <w:pPr>
              <w:keepLines w:val="1"/>
              <w:keepNext w:val="1"/>
            </w:pPr>
            <w:r>
              <w:t>Kruskal-Wallis</w:t>
            </w:r>
          </w:p>
        </w:tc>
        <w:tc>
          <w:tcPr>
            <w:tcW w:type="dxa" w:w="3120"/>
          </w:tcPr>
          <w:p>
            <w:pPr>
              <w:keepLines w:val="1"/>
              <w:keepNext w:val="1"/>
            </w:pPr>
            <w:r>
              <w:t>Distribución no normal</w:t>
            </w:r>
          </w:p>
        </w:tc>
      </w:tr>
      <w:tr>
        <w:trPr>
          <w:cantSplit w:val="1"/>
        </w:trPr>
        <w:tc>
          <w:tcPr>
            <w:tcW w:type="dxa" w:w="3120"/>
          </w:tcPr>
          <w:p>
            <w:pPr>
              <w:keepLines w:val="1"/>
              <w:keepNext w:val="1"/>
            </w:pPr>
            <w:r>
              <w:t>Correlación entre pilares</w:t>
            </w:r>
          </w:p>
        </w:tc>
        <w:tc>
          <w:tcPr>
            <w:tcW w:type="dxa" w:w="3120"/>
          </w:tcPr>
          <w:p>
            <w:pPr>
              <w:keepLines w:val="1"/>
              <w:keepNext w:val="1"/>
            </w:pPr>
            <w:r>
              <w:t>Correlación de Pearson / Spearman</w:t>
            </w:r>
          </w:p>
        </w:tc>
        <w:tc>
          <w:tcPr>
            <w:tcW w:type="dxa" w:w="3120"/>
          </w:tcPr>
          <w:p>
            <w:pPr>
              <w:keepLines w:val="1"/>
              <w:keepNext w:val="1"/>
            </w:pPr>
            <w:r>
              <w:t>Según distribución</w:t>
            </w:r>
          </w:p>
        </w:tc>
      </w:tr>
      <w:tr>
        <w:trPr>
          <w:cantSplit w:val="1"/>
        </w:trPr>
        <w:tc>
          <w:tcPr>
            <w:tcW w:type="dxa" w:w="3120"/>
          </w:tcPr>
          <w:p>
            <w:pPr>
              <w:keepLines w:val="1"/>
              <w:keepNext w:val="1"/>
            </w:pPr>
            <w:r>
              <w:t>Asociación variables categóricas</w:t>
            </w:r>
          </w:p>
        </w:tc>
        <w:tc>
          <w:tcPr>
            <w:tcW w:type="dxa" w:w="3120"/>
          </w:tcPr>
          <w:p>
            <w:pPr>
              <w:keepLines w:val="1"/>
              <w:keepNext w:val="1"/>
            </w:pPr>
            <w:r>
              <w:t>Chi-cuadrado (χ²)</w:t>
            </w:r>
          </w:p>
        </w:tc>
        <w:tc>
          <w:tcPr>
            <w:tcW w:type="dxa" w:w="3120"/>
          </w:tcPr>
          <w:p>
            <w:pPr>
              <w:keepLines w:val="1"/>
              <w:keepNext w:val="1"/>
            </w:pPr>
            <w:r>
              <w:t>n esperado &gt; 5 por celda</w:t>
            </w:r>
          </w:p>
        </w:tc>
      </w:tr>
      <w:tr>
        <w:trPr>
          <w:cantSplit w:val="1"/>
        </w:trPr>
        <w:tc>
          <w:tcPr>
            <w:tcW w:type="dxa" w:w="3120"/>
          </w:tcPr>
          <w:p>
            <w:pPr>
              <w:keepLines w:val="1"/>
            </w:pPr>
            <w:r>
              <w:t>Madurez vs. número de incidentes</w:t>
            </w:r>
          </w:p>
        </w:tc>
        <w:tc>
          <w:tcPr>
            <w:tcW w:type="dxa" w:w="3120"/>
          </w:tcPr>
          <w:p>
            <w:pPr>
              <w:keepLines w:val="1"/>
            </w:pPr>
            <w:r>
              <w:t>Regresión logística binaria</w:t>
            </w:r>
          </w:p>
        </w:tc>
        <w:tc>
          <w:tcPr>
            <w:tcW w:type="dxa" w:w="3120"/>
          </w:tcPr>
          <w:p>
            <w:pPr>
              <w:keepLines w:val="1"/>
            </w:pPr>
            <w:r>
              <w:t>Variable dependiente binaria</w:t>
            </w:r>
          </w:p>
        </w:tc>
      </w:tr>
    </w:tbl>
    <w:p/>
    <w:p>
      <w:pPr>
        <w:pStyle w:val="Heading3"/>
        <w:keepNext/>
        <w:keepLines/>
      </w:pPr>
      <w:r>
        <w:t>5.3. Análisis de Fiabilidad del Instrumento</w:t>
      </w:r>
    </w:p>
    <w:p>
      <w:r>
        <w:t xml:space="preserve">Calcular el </w:t>
      </w:r>
      <w:r>
        <w:rPr>
          <w:b/>
        </w:rPr>
        <w:t>Alfa de Cronbach</w:t>
      </w:r>
      <w:r>
        <w:t xml:space="preserve"> para cada bloque temático:</w:t>
      </w:r>
      <w:r/>
      <w:r>
        <w:br/>
        <w:t>- Valor aceptable: α ≥ 0,70</w:t>
      </w:r>
      <w:r/>
      <w:r>
        <w:br/>
        <w:t>- Valor bueno: α ≥ 0,80</w:t>
      </w:r>
      <w:r/>
      <w:r>
        <w:br/>
        <w:t>- Valor excelente: α ≥ 0,90</w:t>
      </w:r>
    </w:p>
    <w:p>
      <w:r>
        <w:t xml:space="preserve">Para ítems no escalares (categoriales), utilizar el </w:t>
      </w:r>
      <w:r>
        <w:rPr>
          <w:b/>
        </w:rPr>
        <w:t>KR-20</w:t>
      </w:r>
      <w:r>
        <w:t xml:space="preserve"> (Kuder-Richardson para ítems dicotómicos) o el </w:t>
      </w:r>
      <w:r>
        <w:rPr>
          <w:b/>
        </w:rPr>
        <w:t>Alfa de Cronbach ordinal</w:t>
      </w:r>
      <w:r>
        <w:t xml:space="preserve"> (policórico).</w:t>
      </w:r>
    </w:p>
    <w:p>
      <w:pPr>
        <w:pStyle w:val="Heading3"/>
        <w:keepNext/>
        <w:keepLines/>
      </w:pPr>
      <w:r>
        <w:t>5.4. Análisis de Componentes Principales (ACP)</w:t>
      </w:r>
    </w:p>
    <w:p>
      <w:r>
        <w:t>Se recomienda ACP para identificar dimensiones latentes no explícitas en el modelo CIA, potencialmente revelando agrupaciones de controles que superan los tres pilares tradicionales.</w:t>
      </w:r>
    </w:p>
    <w:p>
      <w:pPr>
        <w:pStyle w:val="Heading2"/>
        <w:keepNext/>
        <w:keepLines/>
      </w:pPr>
      <w:r>
        <w:rPr>
          <w:color w:val="0066CC"/>
        </w:rPr>
        <w:t>6. CONSIDERACIONES ÉTICAS Y RGPD</w:t>
      </w:r>
    </w:p>
    <w:p>
      <w:pPr>
        <w:pStyle w:val="Heading3"/>
        <w:keepNext/>
        <w:keepLines/>
      </w:pPr>
      <w:r>
        <w:t>6.1. Principios Aplicables</w:t>
      </w:r>
    </w:p>
    <w:p>
      <w:pPr>
        <w:pStyle w:val="ListBullet"/>
        <w:keepLines w:val="1"/>
        <w:keepNext w:val="1"/>
        <w:widowControl w:val="1"/>
      </w:pPr>
      <w:r>
        <w:t>Minimización de datos: Solo recoger información necesaria para los objetivos de investigación</w:t>
      </w:r>
    </w:p>
    <w:p>
      <w:pPr>
        <w:pStyle w:val="ListBullet"/>
        <w:keepLines w:val="1"/>
        <w:keepNext w:val="1"/>
        <w:widowControl w:val="1"/>
      </w:pPr>
      <w:r>
        <w:t>Seudonimización: Las respuestas se vincularán a un código alfanumérico, no a identificadores directos</w:t>
      </w:r>
    </w:p>
    <w:p>
      <w:pPr>
        <w:pStyle w:val="ListBullet"/>
        <w:keepLines w:val="1"/>
        <w:keepNext w:val="1"/>
        <w:widowControl w:val="1"/>
      </w:pPr>
      <w:r>
        <w:t>Limitación de conservación: Datos brutos eliminados a los 24 meses tras el cierre del estudio</w:t>
      </w:r>
    </w:p>
    <w:p>
      <w:pPr>
        <w:pStyle w:val="ListBullet"/>
        <w:keepLines w:val="1"/>
        <w:widowControl w:val="1"/>
      </w:pPr>
      <w:r>
        <w:t>Base legal: Interés legítimo (investigación académica/institucional) o consentimiento explícito</w:t>
      </w:r>
    </w:p>
    <w:p>
      <w:pPr>
        <w:pStyle w:val="Heading3"/>
        <w:keepNext/>
        <w:keepLines/>
      </w:pPr>
      <w:r>
        <w:t>6.2. Hoja de Información al Participante</w:t>
      </w:r>
    </w:p>
    <w:p>
      <w:r>
        <w:t>Debe incluirse antes del instrumento:</w:t>
      </w:r>
      <w:r/>
      <w:r>
        <w:br/>
        <w:t>- Identificación del responsable del tratamiento</w:t>
      </w:r>
      <w:r/>
      <w:r>
        <w:br/>
        <w:t>- Finalidad del estudio</w:t>
      </w:r>
      <w:r/>
      <w:r>
        <w:br/>
        <w:t>- Receptores de los datos (solo en forma agregada y anonimizada)</w:t>
      </w:r>
      <w:r/>
      <w:r>
        <w:br/>
        <w:t>- Ejercicio de derechos RGPD (acceso, rectificación, supresión)</w:t>
      </w:r>
      <w:r/>
      <w:r>
        <w:br/>
        <w:t>- Contacto del DPO</w:t>
      </w:r>
    </w:p>
    <w:p>
      <w:pPr>
        <w:pStyle w:val="Heading3"/>
        <w:keepNext/>
        <w:keepLines/>
      </w:pPr>
      <w:r>
        <w:t>6.3. Conflictos de Interés</w:t>
      </w:r>
    </w:p>
    <w:p>
      <w:r>
        <w:t>Se recomienda declaración explícita de ausencia de conflictos de interés del equipo investigador y del patrocinador (si lo hubiere), garantizando la independencia del análisis.</w:t>
      </w:r>
    </w:p>
    <w:p>
      <w:pPr>
        <w:pStyle w:val="Heading2"/>
        <w:keepNext/>
        <w:keepLines/>
      </w:pPr>
      <w:r>
        <w:rPr>
          <w:color w:val="0066CC"/>
        </w:rPr>
        <w:t>7. LIMITACIONES METODOLÓGICAS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rPr>
          <w:cantSplit w:val="1"/>
        </w:trPr>
        <w:tc>
          <w:tcPr>
            <w:tcW w:type="dxa" w:w="3120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Limitación</w:t>
            </w:r>
          </w:p>
        </w:tc>
        <w:tc>
          <w:tcPr>
            <w:tcW w:type="dxa" w:w="3120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Descripción</w:t>
            </w:r>
          </w:p>
        </w:tc>
        <w:tc>
          <w:tcPr>
            <w:tcW w:type="dxa" w:w="3120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Mitigación</w:t>
            </w:r>
          </w:p>
        </w:tc>
      </w:tr>
      <w:tr>
        <w:trPr>
          <w:cantSplit w:val="1"/>
        </w:trPr>
        <w:tc>
          <w:tcPr>
            <w:tcW w:type="dxa" w:w="3120"/>
          </w:tcPr>
          <w:p>
            <w:pPr>
              <w:keepLines w:val="1"/>
              <w:keepNext w:val="1"/>
            </w:pPr>
            <w:r>
              <w:t>Sesgo de deseabilidad social</w:t>
            </w:r>
          </w:p>
        </w:tc>
        <w:tc>
          <w:tcPr>
            <w:tcW w:type="dxa" w:w="3120"/>
          </w:tcPr>
          <w:p>
            <w:pPr>
              <w:keepLines w:val="1"/>
              <w:keepNext w:val="1"/>
            </w:pPr>
            <w:r>
              <w:t>Los respondentes tienden a sobrevalorar sus controles</w:t>
            </w:r>
          </w:p>
        </w:tc>
        <w:tc>
          <w:tcPr>
            <w:tcW w:type="dxa" w:w="3120"/>
          </w:tcPr>
          <w:p>
            <w:pPr>
              <w:keepLines w:val="1"/>
              <w:keepNext w:val="1"/>
            </w:pPr>
            <w:r>
              <w:t>Preguntas de verificación cruzada; garantía de anonimato</w:t>
            </w:r>
          </w:p>
        </w:tc>
      </w:tr>
      <w:tr>
        <w:trPr>
          <w:cantSplit w:val="1"/>
        </w:trPr>
        <w:tc>
          <w:tcPr>
            <w:tcW w:type="dxa" w:w="3120"/>
          </w:tcPr>
          <w:p>
            <w:pPr>
              <w:keepLines w:val="1"/>
              <w:keepNext w:val="1"/>
            </w:pPr>
            <w:r>
              <w:t>Sesgo de auto-selección</w:t>
            </w:r>
          </w:p>
        </w:tc>
        <w:tc>
          <w:tcPr>
            <w:tcW w:type="dxa" w:w="3120"/>
          </w:tcPr>
          <w:p>
            <w:pPr>
              <w:keepLines w:val="1"/>
              <w:keepNext w:val="1"/>
            </w:pPr>
            <w:r>
              <w:t>Las organizaciones más maduras participan más</w:t>
            </w:r>
          </w:p>
        </w:tc>
        <w:tc>
          <w:tcPr>
            <w:tcW w:type="dxa" w:w="3120"/>
          </w:tcPr>
          <w:p>
            <w:pPr>
              <w:keepLines w:val="1"/>
              <w:keepNext w:val="1"/>
            </w:pPr>
            <w:r>
              <w:t>Incentivos diferenciados; colaboración con asociaciones sectoriales</w:t>
            </w:r>
          </w:p>
        </w:tc>
      </w:tr>
      <w:tr>
        <w:trPr>
          <w:cantSplit w:val="1"/>
        </w:trPr>
        <w:tc>
          <w:tcPr>
            <w:tcW w:type="dxa" w:w="3120"/>
          </w:tcPr>
          <w:p>
            <w:pPr>
              <w:keepLines w:val="1"/>
              <w:keepNext w:val="1"/>
            </w:pPr>
            <w:r>
              <w:t>Varianza del método común</w:t>
            </w:r>
          </w:p>
        </w:tc>
        <w:tc>
          <w:tcPr>
            <w:tcW w:type="dxa" w:w="3120"/>
          </w:tcPr>
          <w:p>
            <w:pPr>
              <w:keepLines w:val="1"/>
              <w:keepNext w:val="1"/>
            </w:pPr>
            <w:r>
              <w:t>Al ser auto-reporte, puede inflarse la correlación entre variables</w:t>
            </w:r>
          </w:p>
        </w:tc>
        <w:tc>
          <w:tcPr>
            <w:tcW w:type="dxa" w:w="3120"/>
          </w:tcPr>
          <w:p>
            <w:pPr>
              <w:keepLines w:val="1"/>
              <w:keepNext w:val="1"/>
            </w:pPr>
            <w:r>
              <w:t>Separar temporalmente ítems correlacionados; validación externa</w:t>
            </w:r>
          </w:p>
        </w:tc>
      </w:tr>
      <w:tr>
        <w:trPr>
          <w:cantSplit w:val="1"/>
        </w:trPr>
        <w:tc>
          <w:tcPr>
            <w:tcW w:type="dxa" w:w="3120"/>
          </w:tcPr>
          <w:p>
            <w:pPr>
              <w:keepLines w:val="1"/>
              <w:keepNext w:val="1"/>
            </w:pPr>
            <w:r>
              <w:t>Variación del respondente</w:t>
            </w:r>
          </w:p>
        </w:tc>
        <w:tc>
          <w:tcPr>
            <w:tcW w:type="dxa" w:w="3120"/>
          </w:tcPr>
          <w:p>
            <w:pPr>
              <w:keepLines w:val="1"/>
              <w:keepNext w:val="1"/>
            </w:pPr>
            <w:r>
              <w:t>Diferentes roles responden diferente al mismo estado real</w:t>
            </w:r>
          </w:p>
        </w:tc>
        <w:tc>
          <w:tcPr>
            <w:tcW w:type="dxa" w:w="3120"/>
          </w:tcPr>
          <w:p>
            <w:pPr>
              <w:keepLines w:val="1"/>
              <w:keepNext w:val="1"/>
            </w:pPr>
            <w:r>
              <w:t>Definir perfil único por organización; instrucciones claras</w:t>
            </w:r>
          </w:p>
        </w:tc>
      </w:tr>
      <w:tr>
        <w:trPr>
          <w:cantSplit w:val="1"/>
        </w:trPr>
        <w:tc>
          <w:tcPr>
            <w:tcW w:type="dxa" w:w="3120"/>
          </w:tcPr>
          <w:p>
            <w:pPr>
              <w:keepLines w:val="1"/>
            </w:pPr>
            <w:r>
              <w:t>Obsolescencia rápida</w:t>
            </w:r>
          </w:p>
        </w:tc>
        <w:tc>
          <w:tcPr>
            <w:tcW w:type="dxa" w:w="3120"/>
          </w:tcPr>
          <w:p>
            <w:pPr>
              <w:keepLines w:val="1"/>
            </w:pPr>
            <w:r>
              <w:t>Las métricas de ciberseguridad cambian a gran velocidad</w:t>
            </w:r>
          </w:p>
        </w:tc>
        <w:tc>
          <w:tcPr>
            <w:tcW w:type="dxa" w:w="3120"/>
          </w:tcPr>
          <w:p>
            <w:pPr>
              <w:keepLines w:val="1"/>
            </w:pPr>
            <w:r>
              <w:t>Revisión anual del instrumento; control de versiones</w:t>
            </w:r>
          </w:p>
        </w:tc>
      </w:tr>
    </w:tbl>
    <w:p/>
    <w:p>
      <w:r>
        <w:rPr>
          <w:i/>
        </w:rPr>
        <w:t>Guía Metodológica CIA Triad Survey Kit v2025 · Basada en: GQM methodology, CMMI, C2M2, ISO/IEC 27001:2022, NIST CSF 2.0, ENS RD 311/2022</w:t>
      </w:r>
    </w:p>
    <w:sectPr w:rsidR="00FC693F" w:rsidRPr="0006063C" w:rsidSect="00034616">
      <w:headerReference w:type="default" r:id="rId9"/>
      <w:pgSz w:w="12240" w:h="15840"/>
      <w:pgMar w:top="216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center"/>
    </w:pPr>
    <w:r>
      <w:drawing>
        <wp:inline xmlns:a="http://schemas.openxmlformats.org/drawingml/2006/main" xmlns:pic="http://schemas.openxmlformats.org/drawingml/2006/picture">
          <wp:extent cx="5943600" cy="310597"/>
          <wp:docPr id="1" name="Picture 1"/>
          <wp:cNvGraphicFramePr>
            <a:graphicFrameLocks noChangeAspect="1"/>
          </wp:cNvGraphicFramePr>
          <a:graphic>
            <a:graphicData uri="http://schemas.openxmlformats.org/drawingml/2006/picture">
              <pic:pic>
                <pic:nvPicPr>
                  <pic:cNvPr id="0" name="INCIBE+ULE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5943600" cy="310597"/>
                  </a:xfrm>
                  <a:prstGeom prst="rect"/>
                </pic:spPr>
              </pic:pic>
            </a:graphicData>
          </a:graphic>
        </wp:inline>
      </w:drawing>
    </w:r>
  </w:p>
  <w:p>
    <w:pPr>
      <w:spacing w:after="120"/>
    </w:pP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