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EXCEL — CÁLCULO DE IGM Y ROI</w:t>
      </w:r>
    </w:p>
    <w:p>
      <w:pPr>
        <w:pStyle w:val="Heading2"/>
        <w:keepNext/>
        <w:keepLines/>
      </w:pPr>
      <w:r>
        <w:rPr>
          <w:color w:val="0066CC"/>
        </w:rPr>
        <w:t>Índice Global de Madurez CIA (IGM-CIA) y Retorno de la Inversión en Ciberseguridad</w:t>
      </w:r>
    </w:p>
    <w:p>
      <w:pPr>
        <w:pStyle w:val="Heading3"/>
        <w:keepNext/>
        <w:keepLines/>
      </w:pPr>
      <w:r>
        <w:t>CIA Triad Survey Kit 2025 — Especificación para Implementación en Excel / Google Sheets</w:t>
      </w:r>
    </w:p>
    <w:p>
      <w:r>
        <w:rPr>
          <w:i/>
        </w:rPr>
        <w:t>"Lo que no se mide con números, se mide con consecuencias.</w:t>
        <w:br/>
        <w:t>Y las consecuencias en ciberseguridad tienen facturas considerablemente más altas que las inversiones preventivas."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>Este documento especifica la estructura completa de la plantilla Excel para:</w:t>
      </w:r>
      <w:r/>
      <w:r>
        <w:br/>
        <w:t xml:space="preserve">1. </w:t>
      </w:r>
      <w:r>
        <w:rPr>
          <w:b/>
        </w:rPr>
        <w:t>Cálculo automático del IGM-CIA</w:t>
      </w:r>
      <w:r>
        <w:t xml:space="preserve"> (Índice Global de Madurez CIA) por organización</w:t>
      </w:r>
      <w:r/>
      <w:r>
        <w:br/>
        <w:t xml:space="preserve">2. </w:t>
      </w:r>
      <w:r>
        <w:rPr>
          <w:b/>
        </w:rPr>
        <w:t>Cálculo del IGM sectorial</w:t>
      </w:r>
      <w:r>
        <w:t xml:space="preserve"> para benchmarking comparativo</w:t>
      </w:r>
      <w:r/>
      <w:r>
        <w:br/>
        <w:t xml:space="preserve">3. </w:t>
      </w:r>
      <w:r>
        <w:rPr>
          <w:b/>
        </w:rPr>
        <w:t>Estimación del ROI/ROSI</w:t>
      </w:r>
      <w:r>
        <w:t xml:space="preserve"> (Return on Security Investment) según modelo FAIR</w:t>
      </w:r>
      <w:r/>
      <w:r>
        <w:br/>
        <w:t xml:space="preserve">4. </w:t>
      </w:r>
      <w:r>
        <w:rPr>
          <w:b/>
        </w:rPr>
        <w:t>Dashboard ejecutivo</w:t>
      </w:r>
      <w:r>
        <w:t xml:space="preserve"> con visualizaciones automáticas</w:t>
      </w:r>
    </w:p>
    <w:p>
      <w:r>
        <w:rPr>
          <w:b/>
        </w:rPr>
        <w:t>Implementación recomendada:</w:t>
      </w:r>
      <w:r>
        <w:t xml:space="preserve"> Microsoft Excel 365 o Google Sheets</w:t>
      </w:r>
      <w:r/>
      <w:r>
        <w:br/>
      </w:r>
      <w:r>
        <w:rPr>
          <w:b/>
        </w:rPr>
        <w:t>Nivel de complejidad:</w:t>
      </w:r>
      <w:r>
        <w:t xml:space="preserve"> Intermedio (uso de VLOOKUP, tablas dinámicas, gráficos condicionales)</w:t>
      </w:r>
      <w:r/>
      <w:r>
        <w:br/>
      </w:r>
      <w:r>
        <w:rPr>
          <w:b/>
        </w:rPr>
        <w:t>Versiones compatibles:</w:t>
      </w:r>
      <w:r>
        <w:t xml:space="preserve"> Excel 2016+, Excel 365, Google Sheets (2025)</w:t>
      </w:r>
    </w:p>
    <w:p>
      <w:pPr>
        <w:pStyle w:val="Heading2"/>
        <w:keepNext/>
        <w:keepLines/>
      </w:pPr>
      <w:r>
        <w:rPr>
          <w:color w:val="0066CC"/>
        </w:rPr>
        <w:t>ESTRUCTURA DE HOJAS (TABS)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📁 CIA_IGM_ROI_Calculator.xlsx</w:t>
        <w:br/>
        <w:t>├── 📋 INICIO          → Portada, instrucciones y leyenda de colores</w:t>
        <w:br/>
        <w:t>├── 📊 DATOS_RAW       → Importación/volcado de respuestas de encuesta</w:t>
        <w:br/>
        <w:t>├── ⚙️ CODIFICACION    → Tabla de conversión respuestas → puntuación (1-5)</w:t>
        <w:br/>
        <w:t>├── 🧮 IGM_CALC        → Cálculo automático del IGM-CIA individual</w:t>
        <w:br/>
        <w:t>├── 📈 BENCHMARK       → Comparativa sectorial (IGM por sector/tamaño)</w:t>
        <w:br/>
        <w:t>├── 💰 ROI_FAIR        → Modelo FAIR simplificado y cálculo ROSI</w:t>
        <w:br/>
        <w:t>├── 🎯 DASHBOARD       → Resumen ejecutivo visual con gráficos</w:t>
        <w:br/>
        <w:t>└── 📖 REFERENCIAS     → Fuentes, versión y créditos</w:t>
        <w:br/>
      </w:r>
    </w:p>
    <w:p>
      <w:pPr>
        <w:pStyle w:val="Heading2"/>
        <w:keepNext/>
        <w:keepLines/>
      </w:pPr>
      <w:r>
        <w:rPr>
          <w:color w:val="0066CC"/>
        </w:rPr>
        <w:t>HOJA 1: INICIO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 A1:  [LOGO/TÍTULO] CIA Triad Survey Kit 2025</w:t>
        <w:br/>
        <w:t>Celda A3:  Versión: 2025.1</w:t>
        <w:br/>
        <w:t>Celda A4:  Fecha de actualización: Abril 2026</w:t>
        <w:br/>
        <w:t>Celda A5:  Basado en: NIST CSF 2.0, ENS RD 311/2022, FAIR Institute 2025</w:t>
        <w:br/>
        <w:br/>
        <w:t>Tabla de leyenda de colores (rango A8:B15):</w:t>
        <w:br/>
        <w:t xml:space="preserve">  🔴 Rojo    IGM 1.0–1.9  → Nivel Crítico</w:t>
        <w:br/>
        <w:t xml:space="preserve">  🟠 Naranja IGM 2.0–2.9  → Nivel Deficiente</w:t>
        <w:br/>
        <w:t xml:space="preserve">  🟡 Amarillo IGM 3.0–3.4 → Nivel En Desarrollo</w:t>
        <w:br/>
        <w:t xml:space="preserve">  🟢 Verde   IGM 3.5–3.9  → Nivel En Desarrollo Avanzado</w:t>
        <w:br/>
        <w:t xml:space="preserve">  🔵 Azul    IGM 4.0–4.4  → Nivel Competente</w:t>
        <w:br/>
        <w:t xml:space="preserve">  ⭐ Morado  IGM 4.5–5.0  → Nivel Líder</w:t>
        <w:br/>
        <w:br/>
        <w:t>Instrucciones de uso (rango A17:B35):</w:t>
        <w:br/>
        <w:t xml:space="preserve">  Paso 1: Importar o introducir respuestas en hoja DATOS_RAW</w:t>
        <w:br/>
        <w:t xml:space="preserve">  Paso 2: Verificar codificación automática en hoja CODIFICACION</w:t>
        <w:br/>
        <w:t xml:space="preserve">  Paso 3: Revisar IGM calculado en hoja IGM_CALC</w:t>
        <w:br/>
        <w:t xml:space="preserve">  Paso 4: Configurar sector y tamaño para benchmarking en BENCHMARK</w:t>
        <w:br/>
        <w:t xml:space="preserve">  Paso 5: Introducir datos financieros en ROI_FAIR</w:t>
        <w:br/>
        <w:t xml:space="preserve">  Paso 6: Exportar DASHBOARD para reporte ejecutivo</w:t>
        <w:br/>
      </w:r>
    </w:p>
    <w:p>
      <w:pPr>
        <w:pStyle w:val="Heading2"/>
        <w:keepNext/>
        <w:keepLines/>
      </w:pPr>
      <w:r>
        <w:rPr>
          <w:color w:val="0066CC"/>
        </w:rPr>
        <w:t>HOJA 2: DATOS_RAW</w:t>
      </w:r>
    </w:p>
    <w:p>
      <w:pPr>
        <w:pStyle w:val="Heading3"/>
        <w:keepNext/>
        <w:keepLines/>
      </w:pPr>
      <w:r>
        <w:t>Estructura de columnas (una fila por organización encuestada)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 | Campo                    | Tipo          | Validación</w:t>
        <w:br/>
        <w:t>---------|--------------------------|---------------|----------------------------------</w:t>
        <w:br/>
        <w:t>A        | ID_Encuesta              | Texto (código)| Único, alfanumérico</w:t>
        <w:br/>
        <w:t>B        | Fecha_Respuesta          | Fecha         | DD/MM/YYYY</w:t>
        <w:br/>
        <w:t>C        | Sector                   | Lista         | [Banca, Salud, Energía, AAPP, TIC, Industria, Transporte, Educación, Otro]</w:t>
        <w:br/>
        <w:t>D        | Tamaño                   | Lista         | [Micro, Pequeña, Mediana, Grande, Corporación]</w:t>
        <w:br/>
        <w:t>E        | Ambito_Geo               | Lista         | [Local, Nacional, UE, Internacional, Global]</w:t>
        <w:br/>
        <w:t>F        | Es_Operador_Esencial     | Lista         | [Sí Esencial, Sí Digitales, En proceso, No, Desconoce]</w:t>
        <w:br/>
        <w:t>G        | ENS_Nivel                | Lista         | [Básico, Medio, Alto, Sin certificar, No aplica]</w:t>
        <w:br/>
        <w:t>H        | CISO_Existe              | Lista         | [Exclusivo, Parcial, De facto, No existe, vCISO]</w:t>
        <w:br/>
        <w:t>I        | Presupuesto_Pct_IT       | Lista         | [&lt;5%, 5-9%, 10-14%, 15-20%, &gt;20%, No desglosado]</w:t>
        <w:br/>
        <w:t>J        | P1_1_MFA_Cobertura       | Numérico 1-5  | INT, 1 a 5</w:t>
        <w:br/>
        <w:t>K        | P1_2_MFA_Tipo            | Numérico 1-5  | INT, 1 a 5</w:t>
        <w:br/>
        <w:t>L        | P1_3_IAM                 | Numérico 1-5  | INT, 1 a 5</w:t>
        <w:br/>
        <w:t>M        | P1_4_Revision_Privilegios| Numérico 1-5  | INT, 1 a 5</w:t>
        <w:br/>
        <w:t>N        | P1_5_PAM                 | Numérico 1-5  | INT, 1 a 5</w:t>
        <w:br/>
        <w:t>O        | P1_6_Min_Privilegio      | Numérico 1-5  | INT, 1 a 5</w:t>
        <w:br/>
        <w:t>P        | P1_7_Cifrado_Reposo      | Numérico 1-5  | INT, 1 a 5</w:t>
        <w:br/>
        <w:t>Q        | P1_8_Algoritmos          | Numérico 1-5  | INT, 1 a 5</w:t>
        <w:br/>
        <w:t>R        | P1_9_PQC                 | Numérico 1-5  | INT, 1 a 5</w:t>
        <w:br/>
        <w:t>S        | P1_10_DLP                | Numérico 1-5  | INT, 1 a 5</w:t>
        <w:br/>
        <w:t>T        | P1_11_Exfiltracion       | Numérico 1-5  | INT, 1 a 5</w:t>
        <w:br/>
        <w:t>U        | P1_12_Clasificacion      | Numérico 1-5  | INT, 1 a 5</w:t>
        <w:br/>
        <w:t>V        | P1_13_Inventario         | Numérico 1-5  | INT, 1 a 5</w:t>
        <w:br/>
        <w:t>W        | P1_14_ShadowAI           | Numérico 1-5  | INT, 1 a 5</w:t>
        <w:br/>
        <w:t>X        | P1_15_Politica_IA        | Numérico 1-5  | INT, 1 a 5</w:t>
        <w:br/>
        <w:t>Y        | P1_16_Madurez_C          | Numérico 1-5  | INT, 1 a 5</w:t>
        <w:br/>
        <w:t>Z        | P2_1_FIM                 | Numérico 1-5  | INT, 1 a 5</w:t>
        <w:br/>
        <w:t>AA       | P2_2_Hash                | Numérico 1-5  | INT, 1 a 5</w:t>
        <w:br/>
        <w:t>AB       | P2_3_Parcheo_Critico     | Numérico 1-5  | INT, 1 a 5</w:t>
        <w:br/>
        <w:t>AC       | P2_4_Parcheo_Edge        | Numérico 1-5  | INT, 1 a 5</w:t>
        <w:br/>
        <w:t>AD       | P2_5_VM_Proceso          | Numérico 1-5  | INT, 1 a 5</w:t>
        <w:br/>
        <w:t>AE       | P2_6_Firma_Digital       | Numérico 1-5  | INT, 1 a 5</w:t>
        <w:br/>
        <w:t>AF       | P2_7_SIEM_Logs           | Numérico 1-5  | INT, 1 a 5</w:t>
        <w:br/>
        <w:t>AG       | P2_8_Retencion_Logs      | Numérico 1-5  | INT, 1 a 5</w:t>
        <w:br/>
        <w:t>AH       | P2_9_Forense             | Numérico 1-5  | INT, 1 a 5</w:t>
        <w:br/>
        <w:t>AI       | P2_10_SW_Verificacion    | Numérico 1-5  | INT, 1 a 5</w:t>
        <w:br/>
        <w:t>AJ       | P2_11_SBOM               | Numérico 1-5  | INT, 1 a 5</w:t>
        <w:br/>
        <w:t>AK       | P2_12_Incid_Proveedores  | Numérico 1-5  | INT, 1 a 5 (invertida)</w:t>
        <w:br/>
        <w:t>AL       | P2_13_DataPoisoning      | Numérico 1-5  | INT, 1 a 5</w:t>
        <w:br/>
        <w:t>AM       | P2_14_Madurez_I          | Numérico 1-5  | INT, 1 a 5</w:t>
        <w:br/>
        <w:t>AN       | P3_1_BCP                 | Numérico 1-5  | INT, 1 a 5</w:t>
        <w:br/>
        <w:t>AO       | P3_2_DRP_Pruebas         | Numérico 1-5  | INT, 1 a 5</w:t>
        <w:br/>
        <w:t>AP       | P3_3_RTO                 | Numérico 1-5  | INT, 1 a 5</w:t>
        <w:br/>
        <w:t>AQ       | P3_4_RPO                 | Numérico 1-5  | INT, 1 a 5</w:t>
        <w:br/>
        <w:t>AR       | P3_5_Backups             | Numérico 1-5  | INT, 1 a 5</w:t>
        <w:br/>
        <w:t>AS       | P3_6_321_Regla           | Numérico 1-5  | INT, 1 a 5</w:t>
        <w:br/>
        <w:t>AT       | P3_7_SOC                 | Numérico 1-5  | INT, 1 a 5</w:t>
        <w:br/>
        <w:t>AU       | P3_8_MTTD                | Numérico 1-5  | INT, 1 a 5</w:t>
        <w:br/>
        <w:t>AV       | P3_9_MTTR                | Numérico 1-5  | INT, 1 a 5</w:t>
        <w:br/>
        <w:t>AW       | P3_10_Ransomware_Exp     | Numérico 1-5  | INT, 1 a 5 (invertida)</w:t>
        <w:br/>
        <w:t>AX       | P3_11_Postura_Pago       | Numérico 1-5  | INT, 1 a 5</w:t>
        <w:br/>
        <w:t>AY       | P3_12_AntiDDoS           | Numérico 1-5  | INT, 1 a 5</w:t>
        <w:br/>
        <w:t>AZ       | P3_13_SLA_Uptime         | Numérico 1-5  | INT, 1 a 5</w:t>
        <w:br/>
        <w:t>BA       | P3_14_Redundancia        | Numérico 1-5  | INT, 1 a 5</w:t>
        <w:br/>
        <w:t>BB       | P3_15_IoT_Inventario     | Numérico 1-5  | INT, 1 a 5</w:t>
        <w:br/>
        <w:t>BC       | P3_16_Madurez_A          | Numérico 1-5  | INT, 1 a 5</w:t>
        <w:br/>
        <w:t>BD       | P5_1_Frameworks          | Numérico 0-10 | Count de frameworks marcados</w:t>
        <w:br/>
        <w:t>BE       | P6_1_Formacion           | Numérico 1-5  | INT, 1 a 5</w:t>
        <w:br/>
        <w:t>BF       | P6_2_Phishing_Sim        | Numérico 1-5  | INT, 1 a 5</w:t>
        <w:br/>
        <w:t>BG       | P7_1_PQC_Eval            | Numérico 1-5  | INT, 1 a 5</w:t>
        <w:br/>
        <w:t>BH       | P7_3_ZeroTrust           | Numérico 1-5  | INT, 1 a 5</w:t>
        <w:br/>
        <w:t>BI       | P8_1_Madurez_C_Global    | Numérico 1-5  | INT, 1 a 5</w:t>
        <w:br/>
        <w:t>BJ       | P8_1_Madurez_I_Global    | Numérico 1-5  | INT, 1 a 5</w:t>
        <w:br/>
        <w:t>BK       | P8_1_Madurez_A_Global    | Numérico 1-5  | INT, 1 a 5</w:t>
        <w:br/>
        <w:t>BL       | P8_1_Madurez_Auth_Global | Numérico 1-5  | INT, 1 a 5</w:t>
        <w:br/>
      </w:r>
    </w:p>
    <w:p>
      <w:pPr>
        <w:pStyle w:val="Heading2"/>
        <w:keepNext/>
        <w:keepLines/>
      </w:pPr>
      <w:r>
        <w:rPr>
          <w:color w:val="0066CC"/>
        </w:rPr>
        <w:t>HOJA 3: CODIFICACION</w:t>
      </w:r>
    </w:p>
    <w:p>
      <w:pPr>
        <w:pStyle w:val="Heading3"/>
        <w:keepNext/>
        <w:keepLines/>
      </w:pPr>
      <w:r>
        <w:t>Tabla de conversión — ejemplos principales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CODIF_MFA (rango A2:C8):</w:t>
        <w:br/>
        <w:t xml:space="preserve">  Respuesta_Raw                              | Código | Puntuación</w:t>
        <w:br/>
        <w:t xml:space="preserve">  "Menos del 25%"                            |   1    |     1</w:t>
        <w:br/>
        <w:t xml:space="preserve">  "Entre 25% y 50%"                          |   2    |     2</w:t>
        <w:br/>
        <w:t xml:space="preserve">  "Entre 51% y 75%"                          |   3    |     3</w:t>
        <w:br/>
        <w:t xml:space="preserve">  "Entre 76% y 90%"                          |   4    |     4</w:t>
        <w:br/>
        <w:t xml:space="preserve">  "Más del 90%"                              |   5    |   4.5</w:t>
        <w:br/>
        <w:t xml:space="preserve">  "100%, incluidas cuentas privilegiadas"    |   6    |     5</w:t>
        <w:br/>
        <w:br/>
        <w:t>Tabla CODIF_RTO (rango A12:C18):</w:t>
        <w:br/>
        <w:t xml:space="preserve">  Respuesta_Raw                              | Código | Puntuación</w:t>
        <w:br/>
        <w:t xml:space="preserve">  "Menos de 15 minutos"                      |   1    |     5</w:t>
        <w:br/>
        <w:t xml:space="preserve">  "Entre 15 min y 1 hora"                    |   2    |     4</w:t>
        <w:br/>
        <w:t xml:space="preserve">  "Entre 1 y 4 horas"                        |   3    |     3</w:t>
        <w:br/>
        <w:t xml:space="preserve">  "Entre 4 y 24 horas"                       |   4    |     2</w:t>
        <w:br/>
        <w:t xml:space="preserve">  "Más de 24 horas"                          |   5    |     1</w:t>
        <w:br/>
        <w:t xml:space="preserve">  "Sin RTO definido"                         |   6    |     0</w:t>
        <w:br/>
        <w:br/>
        <w:t>Tabla CODIF_PARCHEO (rango A22:C28):</w:t>
        <w:br/>
        <w:t xml:space="preserve">  Respuesta_Raw                              | Código | Puntuación</w:t>
        <w:br/>
        <w:t xml:space="preserve">  "Menos de 24 horas"                        |   1    |     5</w:t>
        <w:br/>
        <w:t xml:space="preserve">  "1 a 7 días"                               |   2    |     4</w:t>
        <w:br/>
        <w:t xml:space="preserve">  "8 a 30 días"                              |   3    |     3</w:t>
        <w:br/>
        <w:t xml:space="preserve">  "31 a 90 días"                             |   4    |     2</w:t>
        <w:br/>
        <w:t xml:space="preserve">  "Más de 90 días"                           |   5    |     1</w:t>
        <w:br/>
        <w:t xml:space="preserve">  "Sin proceso definido"                     |   6    |     0</w:t>
        <w:br/>
        <w:br/>
        <w:t>NOTA: Todas las tablas de codificación se estructuran así.</w:t>
        <w:br/>
        <w:t>Ver hoja CODIFICACION para el set completo de 45 tablas.</w:t>
        <w:br/>
      </w:r>
    </w:p>
    <w:p>
      <w:pPr>
        <w:pStyle w:val="Heading2"/>
        <w:keepNext/>
        <w:keepLines/>
      </w:pPr>
      <w:r>
        <w:rPr>
          <w:color w:val="0066CC"/>
        </w:rPr>
        <w:t>HOJA 4: IGM_CALC — CÁLCULO PRINCIPAL</w:t>
      </w:r>
    </w:p>
    <w:p>
      <w:pPr>
        <w:pStyle w:val="Heading3"/>
        <w:keepNext/>
        <w:keepLines/>
      </w:pPr>
      <w:r>
        <w:t>Sección A: Puntuaciones por Sub-dominio (Columnas A-E)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1: Encabezados</w:t>
        <w:br/>
        <w:t xml:space="preserve">  A1: ID_Encuesta</w:t>
        <w:br/>
        <w:t xml:space="preserve">  B1: Sector</w:t>
        <w:br/>
        <w:t xml:space="preserve">  C1: Tamaño</w:t>
        <w:br/>
        <w:t xml:space="preserve">  D1: Score_C_Acceso_Identidad    (media P1.1 a P1.6)</w:t>
        <w:br/>
        <w:t xml:space="preserve">  E1: Score_C_Cifrado             (media P1.7 a P1.9)</w:t>
        <w:br/>
        <w:t xml:space="preserve">  F1: Score_C_DLP_Exfiltracion    (media P1.10 a P1.11)</w:t>
        <w:br/>
        <w:t xml:space="preserve">  G1: Score_C_Clasificacion       (media P1.12 a P1.13)</w:t>
        <w:br/>
        <w:t xml:space="preserve">  H1: Score_C_ShadowAI            (media P1.14 a P1.15)</w:t>
        <w:br/>
        <w:t xml:space="preserve">  I1: IGM_C                       (media ponderada D:H)</w:t>
        <w:br/>
        <w:t xml:space="preserve">  J1: Score_I_FIM_Parcheo         (media P2.1 a P2.5)</w:t>
        <w:br/>
        <w:t xml:space="preserve">  K1: Score_I_Custodia_Repudio    (media P2.6 a P2.9)</w:t>
        <w:br/>
        <w:t xml:space="preserve">  L1: Score_I_SupplyChain         (media P2.10 a P2.12)</w:t>
        <w:br/>
        <w:t xml:space="preserve">  M1: Score_I_IA_Integridad       (P2.13)</w:t>
        <w:br/>
        <w:t xml:space="preserve">  N1: IGM_I                       (media ponderada J:M)</w:t>
        <w:br/>
        <w:t xml:space="preserve">  O1: Score_A_Continuidad         (media P3.1 a P3.6)</w:t>
        <w:br/>
        <w:t xml:space="preserve">  P1: Score_A_Incidentes          (media P3.7 a P3.11)</w:t>
        <w:br/>
        <w:t xml:space="preserve">  Q1: Score_A_DDoS_HA             (media P3.12 a P3.14)</w:t>
        <w:br/>
        <w:t xml:space="preserve">  R1: Score_A_IoT                 (P3.15)</w:t>
        <w:br/>
        <w:t xml:space="preserve">  S1: IGM_A                       (media ponderada O:R)</w:t>
        <w:br/>
        <w:t xml:space="preserve">  T1: IGM_CIA                     (media ponderada I, N, S)</w:t>
        <w:br/>
        <w:t xml:space="preserve">  U1: Nivel_Madurez               (texto: Crítico/Deficiente/En desarrollo/Competente/Líder)</w:t>
        <w:br/>
        <w:t xml:space="preserve">  V1: Color_Semaforo              (formato condicional)</w:t>
        <w:br/>
        <w:br/>
        <w:t>Fila 2 en adelante: Datos calculados automáticamente</w:t>
        <w:br/>
        <w:br/>
        <w:t>Fórmula D2 (Score_C_Acceso_Identidad):</w:t>
        <w:br/>
        <w:t xml:space="preserve">  =IFERROR(AVERAGE(DATOS_RAW!J2, DATOS_RAW!K2, DATOS_RAW!L2, DATOS_RAW!M2, DATOS_RAW!N2, DATOS_RAW!O2), "")</w:t>
        <w:br/>
        <w:br/>
        <w:t>Fórmula I2 (IGM_C — ponderación estándar):</w:t>
        <w:br/>
        <w:t xml:space="preserve">  =IFERROR(</w:t>
        <w:br/>
        <w:t xml:space="preserve">    (D2*0.30 + E2*0.25 + F2*0.20 + G2*0.15 + H2*0.10),</w:t>
        <w:br/>
        <w:t xml:space="preserve">  "")</w:t>
        <w:br/>
        <w:br/>
        <w:t>Fórmula T2 (IGM_CIA — ponderación genérica 33/33/34):</w:t>
        <w:br/>
        <w:t xml:space="preserve">  =IFERROR(</w:t>
        <w:br/>
        <w:t xml:space="preserve">    VLOOKUP(B2, PONDERACIONES!$A$2:$D$20, 2, FALSE)*I2 +</w:t>
        <w:br/>
        <w:t xml:space="preserve">    VLOOKUP(B2, PONDERACIONES!$A$2:$D$20, 3, FALSE)*N2 +</w:t>
        <w:br/>
        <w:t xml:space="preserve">    VLOOKUP(B2, PONDERACIONES!$A$2:$D$20, 4, FALSE)*S2,</w:t>
        <w:br/>
        <w:t xml:space="preserve">  "")</w:t>
        <w:br/>
        <w:br/>
        <w:t>Fórmula U2 (Nivel_Madurez):</w:t>
        <w:br/>
        <w:t xml:space="preserve">  =IFS(</w:t>
        <w:br/>
        <w:t xml:space="preserve">    T2&gt;=4.5, "⭐ Líder",</w:t>
        <w:br/>
        <w:t xml:space="preserve">    T2&gt;=4.0, "🔵 Competente",</w:t>
        <w:br/>
        <w:t xml:space="preserve">    T2&gt;=3.5, "🟢 En Desarrollo Avanzado",</w:t>
        <w:br/>
        <w:t xml:space="preserve">    T2&gt;=3.0, "🟡 En Desarrollo",</w:t>
        <w:br/>
        <w:t xml:space="preserve">    T2&gt;=2.0, "🟠 Deficiente",</w:t>
        <w:br/>
        <w:t xml:space="preserve">    T2&gt;=1.0, "🔴 Crítico",</w:t>
        <w:br/>
        <w:t xml:space="preserve">    TRUE,    "⚠️ Sin datos"</w:t>
        <w:br/>
        <w:t xml:space="preserve">  )</w:t>
        <w:br/>
      </w:r>
    </w:p>
    <w:p>
      <w:pPr>
        <w:pStyle w:val="Heading3"/>
        <w:keepNext/>
        <w:keepLines/>
      </w:pPr>
      <w:r>
        <w:t>Sección B: Tabla de Ponderaciones por Sector (Hoja auxiliar PONDERACIONES)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A: Sector</w:t>
        <w:br/>
        <w:t>Columna B: w_Confidencialidad</w:t>
        <w:br/>
        <w:t>Columna C: w_Integridad</w:t>
        <w:br/>
        <w:t>Columna D: w_Disponibilidad</w:t>
        <w:br/>
        <w:br/>
        <w:t>Valores (basados en análisis de riesgo sectorial):</w:t>
        <w:br/>
        <w:t xml:space="preserve">  Banca / Finanzas            → 0.35 | 0.30 | 0.35</w:t>
        <w:br/>
        <w:t xml:space="preserve">  Seguros                     → 0.35 | 0.30 | 0.35</w:t>
        <w:br/>
        <w:t xml:space="preserve">  Salud                       → 0.40 | 0.35 | 0.25</w:t>
        <w:br/>
        <w:t xml:space="preserve">  Energía / Utilities         → 0.25 | 0.30 | 0.45</w:t>
        <w:br/>
        <w:t xml:space="preserve">  Telecomunicaciones / TIC    → 0.30 | 0.30 | 0.40</w:t>
        <w:br/>
        <w:t xml:space="preserve">  Administración Pública      → 0.35 | 0.35 | 0.30</w:t>
        <w:br/>
        <w:t xml:space="preserve">  Industria / Manufactura     → 0.30 | 0.35 | 0.35</w:t>
        <w:br/>
        <w:t xml:space="preserve">  Transporte / Logística      → 0.25 | 0.35 | 0.40</w:t>
        <w:br/>
        <w:t xml:space="preserve">  Educación / Investigación   → 0.38 | 0.32 | 0.30</w:t>
        <w:br/>
        <w:t xml:space="preserve">  Comercio / Distribución     → 0.35 | 0.30 | 0.35</w:t>
        <w:br/>
        <w:t xml:space="preserve">  Defensa / Seguridad         → 0.40 | 0.35 | 0.25</w:t>
        <w:br/>
        <w:t xml:space="preserve">  Genérico / Otro             → 0.33 | 0.33 | 0.34</w:t>
        <w:br/>
      </w:r>
    </w:p>
    <w:p>
      <w:pPr>
        <w:pStyle w:val="Heading3"/>
        <w:keepNext/>
        <w:keepLines/>
      </w:pPr>
      <w:r>
        <w:t>Sección C: Alertas Automáticas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W1: Alertas_Criticas</w:t>
        <w:br/>
        <w:t>Fórmula W2:</w:t>
        <w:br/>
        <w:t xml:space="preserve">  =IF(</w:t>
        <w:br/>
        <w:t xml:space="preserve">    OR(</w:t>
        <w:br/>
        <w:t xml:space="preserve">      DATOS_RAW!N2=0,    // PAM: cuentas compartidas</w:t>
        <w:br/>
        <w:t xml:space="preserve">      DATOS_RAW!Q2=1,    // Cifrado: algoritmos legacy</w:t>
        <w:br/>
        <w:t xml:space="preserve">      DATOS_RAW!AB2=0,   // Parcheo: sin proceso</w:t>
        <w:br/>
        <w:t xml:space="preserve">      DATOS_RAW!AO2=0,   // BCP: no existe</w:t>
        <w:br/>
        <w:t xml:space="preserve">      DATOS_RAW!AT2=1,   // SOC: solo por usuarios</w:t>
        <w:br/>
        <w:t xml:space="preserve">      DATOS_RAW!BC2=1    // NIS2: desconoce requisitos</w:t>
        <w:br/>
        <w:t xml:space="preserve">    ),</w:t>
        <w:br/>
        <w:t xml:space="preserve">    "⚠️ ALERTA ROJA — Ver detalles",</w:t>
        <w:br/>
        <w:t xml:space="preserve">    "✅ Sin alertas críticas"</w:t>
        <w:br/>
        <w:t xml:space="preserve">  )</w:t>
        <w:br/>
      </w:r>
    </w:p>
    <w:p>
      <w:pPr>
        <w:pStyle w:val="Heading2"/>
        <w:keepNext/>
        <w:keepLines/>
      </w:pPr>
      <w:r>
        <w:rPr>
          <w:color w:val="0066CC"/>
        </w:rPr>
        <w:t>HOJA 5: BENCHMARK</w:t>
      </w:r>
    </w:p>
    <w:p>
      <w:pPr>
        <w:pStyle w:val="Heading3"/>
        <w:keepNext/>
        <w:keepLines/>
      </w:pPr>
      <w:r>
        <w:t>Estructura de tablas dinámicas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Dinámica 1: IGM_CIA promedio por SECTOR</w:t>
        <w:br/>
        <w:t xml:space="preserve">  Filas: Sector</w:t>
        <w:br/>
        <w:t xml:space="preserve">  Valores: Promedio de IGM_CIA, IGM_C, IGM_I, IGM_A</w:t>
        <w:br/>
        <w:t xml:space="preserve">  Filtros: Tamaño, Ámbito_Geo</w:t>
        <w:br/>
        <w:t xml:space="preserve">  Visualización: Gráfico de barras agrupadas con línea de referencia</w:t>
        <w:br/>
        <w:br/>
        <w:t>Tabla Dinámica 2: Distribución de niveles de madurez por TAMAÑO</w:t>
        <w:br/>
        <w:t xml:space="preserve">  Filas: Tamaño organizacional</w:t>
        <w:br/>
        <w:t xml:space="preserve">  Columnas: Nivel_Madurez (Crítico/Deficiente/En desarrollo/Competente/Líder)</w:t>
        <w:br/>
        <w:t xml:space="preserve">  Valores: COUNT de organizaciones</w:t>
        <w:br/>
        <w:t xml:space="preserve">  Visualización: Gráfico de barras apiladas 100%</w:t>
        <w:br/>
        <w:br/>
        <w:t>Tabla Dinámica 3: Top 5 subdominios con menor puntuación (áreas de mejora prioritarias)</w:t>
        <w:br/>
        <w:t xml:space="preserve">  Fuente: Medias de cada Score_ sub-dominio</w:t>
        <w:br/>
        <w:t xml:space="preserve">  Orden: Ascendente por puntuación media</w:t>
        <w:br/>
        <w:t xml:space="preserve">  Visualización: Gráfico de barras horizontal (horizontal bar chart)</w:t>
        <w:br/>
        <w:br/>
        <w:t>Fórmulas de benchmarking individual:</w:t>
        <w:br/>
        <w:t xml:space="preserve">  // Percentil de la organización vs. muestra</w:t>
        <w:br/>
        <w:t xml:space="preserve">  =PERCENTRANK.INC(IGM_CALC!T$2:T$500, IGM_CALC!T2, 1)</w:t>
        <w:br/>
        <w:t xml:space="preserve">  // Posición vs. mediana sectorial</w:t>
        <w:br/>
        <w:t xml:space="preserve">  =IGM_CALC!T2 - AVERAGEIF(IGM_CALC!B$2:B$500, IGM_CALC!B2, IGM_CALC!T$2:T$500)</w:t>
        <w:br/>
      </w:r>
    </w:p>
    <w:p>
      <w:pPr>
        <w:pStyle w:val="Heading2"/>
        <w:keepNext/>
        <w:keepLines/>
      </w:pPr>
      <w:r>
        <w:rPr>
          <w:color w:val="0066CC"/>
        </w:rPr>
        <w:t>HOJA 6: ROI_FAIR — MODELO DE ROI DE CIBERSEGURIDAD</w:t>
      </w:r>
    </w:p>
    <w:p>
      <w:pPr>
        <w:pStyle w:val="Heading3"/>
        <w:keepNext/>
        <w:keepLines/>
      </w:pPr>
      <w:r>
        <w:t>Sección A: Datos de entrada financieros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Celdas de entrada (amarillas):</w:t>
        <w:br/>
        <w:t xml:space="preserve">  B3:  Presupuesto anual ciberseguridad (€)                → Input manual</w:t>
        <w:br/>
        <w:t xml:space="preserve">  B4:  Coste promedio brecha por incidente estimado (€)     → Default: 4.440.000 (IBM 2025)</w:t>
        <w:br/>
        <w:t xml:space="preserve">  B5:  Número de incidentes esperados/año sin controles     → Input manual</w:t>
        <w:br/>
        <w:t xml:space="preserve">  B6:  Número de incidentes esperados/año con controles     → Input manual</w:t>
        <w:br/>
        <w:t xml:space="preserve">  B7:  Factor de reducción de impacto por controles (%)     → Input manual</w:t>
        <w:br/>
        <w:t xml:space="preserve">  B8:  Años de horizonte temporal del análisis              → Default: 3</w:t>
        <w:br/>
        <w:br/>
        <w:t>Celdas de referencia de mercado (grises, no modificables):</w:t>
        <w:br/>
        <w:t xml:space="preserve">  E3:  Coste brecha global IBM 2025: 4.440.000 €</w:t>
        <w:br/>
        <w:t xml:space="preserve">  E4:  Coste brecha USA IBM 2025: 10.220.000 €</w:t>
        <w:br/>
        <w:t xml:space="preserve">  E5:  Coste brecha sector salud: 10.930.000 €</w:t>
        <w:br/>
        <w:t xml:space="preserve">  E6:  Ahorro IA en detección IBM 2025: 1.900.000 €</w:t>
        <w:br/>
        <w:t xml:space="preserve">  E7:  Coste shadow AI adicional: 670.000 €</w:t>
        <w:br/>
        <w:t xml:space="preserve">  E8:  Reducción coste ZT exitoso: -1.500.000 €</w:t>
        <w:br/>
      </w:r>
    </w:p>
    <w:p>
      <w:pPr>
        <w:pStyle w:val="Heading3"/>
        <w:keepNext/>
        <w:keepLines/>
      </w:pPr>
      <w:r>
        <w:t>Sección B: Cálculos ALE y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B12: ALE_Sin_Controles (Annualized Loss Expectancy sin inversión)</w:t>
        <w:br/>
        <w:t xml:space="preserve">  Fórmula: =B4 * B5</w:t>
        <w:br/>
        <w:t xml:space="preserve">  Descripción: Pérdida esperada anual sin controles de seguridad</w:t>
        <w:br/>
        <w:br/>
        <w:t>B13: ALE_Con_Controles (Annualized Loss Expectancy con inversión)</w:t>
        <w:br/>
        <w:t xml:space="preserve">  Fórmula: =B4 * B6 * (1 - B7/100)</w:t>
        <w:br/>
        <w:t xml:space="preserve">  Descripción: Pérdida esperada anual con controles implementados</w:t>
        <w:br/>
        <w:br/>
        <w:t>B14: Beneficio_Anual_Controles</w:t>
        <w:br/>
        <w:t xml:space="preserve">  Fórmula: =B12 - B13</w:t>
        <w:br/>
        <w:t xml:space="preserve">  Descripción: Reducción de pérdida esperada por controles</w:t>
        <w:br/>
        <w:br/>
        <w:t>B15: ROSI (Return on Security Investment)</w:t>
        <w:br/>
        <w:t xml:space="preserve">  Fórmula: =(B14 - B3) / B3 * 100</w:t>
        <w:br/>
        <w:t xml:space="preserve">  Descripción: % de retorno sobre la inversión en seguridad</w:t>
        <w:br/>
        <w:t xml:space="preserve">  Nota: ROSI &gt; 0% = inversión justificada; ROSI &gt; 100% = excelente ROI</w:t>
        <w:br/>
        <w:br/>
        <w:t>B16: Payback_Meses</w:t>
        <w:br/>
        <w:t xml:space="preserve">  Fórmula: =IF(B14&gt;0, B3/(B14/12), "No hay retorno positivo")</w:t>
        <w:br/>
        <w:t xml:space="preserve">  Descripción: Meses para recuperar la inversión en seguridad</w:t>
        <w:br/>
        <w:br/>
        <w:t>B17: VAN_3anios (Valor Actual Neto a 3 años, tasa descuento 8%)</w:t>
        <w:br/>
        <w:t xml:space="preserve">  Fórmula: =-B3 + (B14/1.08) + (B14/1.08^2) + (B14/1.08^3)</w:t>
        <w:br/>
        <w:t xml:space="preserve">  Descripción: Valor presente del flujo de beneficios de seguridad</w:t>
        <w:br/>
        <w:br/>
        <w:t>B18: Factor_Reduccion_MTTD</w:t>
        <w:br/>
        <w:t xml:space="preserve">  Fórmula: =IF(B8_MTTD_Actual&gt;60, (B8_MTTD_Actual-60)*B4/365*0.5, 0)</w:t>
        <w:br/>
        <w:t xml:space="preserve">  Descripción: Ahorro estimado por reducción de MTTD a &lt; 60 días</w:t>
        <w:br/>
        <w:t xml:space="preserve">  Referencia: IBM 2025 — cada día de reducción MTTD ≈ $18.300 de ahorro</w:t>
        <w:br/>
      </w:r>
    </w:p>
    <w:p>
      <w:pPr>
        <w:pStyle w:val="Heading3"/>
        <w:keepNext/>
        <w:keepLines/>
      </w:pPr>
      <w:r>
        <w:t>Sección C: Tabla de Sensibilidad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cruzada (rango D20:J30):</w:t>
        <w:br/>
        <w:t xml:space="preserve">  Filas: Variación en frecuencia de incidentes (-50%, -25%, Base, +25%, +50%)</w:t>
        <w:br/>
        <w:t xml:space="preserve">  Columnas: Variación en coste por incidente (-25%, -10%, Base, +10%, +25%)</w:t>
        <w:br/>
        <w:t xml:space="preserve">  Valores: ROSI calculado para cada combinación</w:t>
        <w:br/>
        <w:t xml:space="preserve">  Formato condicional:</w:t>
        <w:br/>
        <w:t xml:space="preserve">    Verde (&gt;100%): =ROSI&gt;100%</w:t>
        <w:br/>
        <w:t xml:space="preserve">    Amarillo (0-100%): =ROSI&gt;=0 Y ROSI&lt;=100</w:t>
        <w:br/>
        <w:t xml:space="preserve">    Rojo (&lt;0%): =ROSI&lt;0</w:t>
        <w:br/>
      </w:r>
    </w:p>
    <w:p>
      <w:pPr>
        <w:pStyle w:val="Heading3"/>
        <w:keepNext/>
        <w:keepLines/>
      </w:pPr>
      <w:r>
        <w:t>Sección D: Tabla IGM-Riesgo Correlación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Cálculo del riesgo residual estimado por nivel IGM (rango A35:D42):</w:t>
        <w:br/>
        <w:br/>
        <w:t xml:space="preserve">  IGM Range | Nivel          | Factor reducción riesgo | Coste residual estimado</w:t>
        <w:br/>
        <w:t xml:space="preserve">  1.0–1.9   | Crítico        | 0%                      | Coste pleno (ALE base)</w:t>
        <w:br/>
        <w:t xml:space="preserve">  2.0–2.9   | Deficiente     | 20%                     | ALE * 0.80</w:t>
        <w:br/>
        <w:t xml:space="preserve">  3.0–3.4   | En desarrollo  | 40%                     | ALE * 0.60</w:t>
        <w:br/>
        <w:t xml:space="preserve">  3.5–3.9   | En des. Avanz. | 55%                     | ALE * 0.45</w:t>
        <w:br/>
        <w:t xml:space="preserve">  4.0–4.4   | Competente     | 70%                     | ALE * 0.30</w:t>
        <w:br/>
        <w:t xml:space="preserve">  4.5–5.0   | Líder          | 85%                     | ALE * 0.15</w:t>
        <w:br/>
        <w:br/>
        <w:t>Fuente: Adaptado de FAIR Institute State of CRM 2025 y IBM Cost of Data Breach 2025</w:t>
        <w:br/>
      </w:r>
    </w:p>
    <w:p>
      <w:pPr>
        <w:pStyle w:val="Heading2"/>
        <w:keepNext/>
        <w:keepLines/>
      </w:pPr>
      <w:r>
        <w:rPr>
          <w:color w:val="0066CC"/>
        </w:rPr>
        <w:t>HOJA 7: DASHBOARD</w:t>
      </w:r>
    </w:p>
    <w:p>
      <w:pPr>
        <w:pStyle w:val="Heading3"/>
        <w:keepNext/>
        <w:keepLines/>
      </w:pPr>
      <w:r>
        <w:t>Visualizaciones a implementar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RADAR CHART (Gráfico de araña) — Puntuaciones por pilar CIA</w:t>
        <w:br/>
        <w:t xml:space="preserve">   Datos: IGM_C, IGM_I, IGM_A, Score_Auth/Traz, Score_Cultura</w:t>
        <w:br/>
        <w:t xml:space="preserve">   Colores: Azul corporativo para organización; Gris para benchmark sectorial</w:t>
        <w:br/>
        <w:t xml:space="preserve">   Tamaño: Grande (12x12 cm), posición superior izquierda</w:t>
        <w:br/>
        <w:br/>
        <w:t>2. GAUGE CHART (Velocímetro) — IGM-CIA Global</w:t>
        <w:br/>
        <w:t xml:space="preserve">   Valor: IGM_CIA (celda de referencia)</w:t>
        <w:br/>
        <w:t xml:space="preserve">   Rangos coloreados: Rojo (1-2), Naranja (2-3), Amarillo (3-3.5), Verde (3.5-4.5), Azul (4.5-5)</w:t>
        <w:br/>
        <w:t xml:space="preserve">   Posición: Centro superior</w:t>
        <w:br/>
        <w:br/>
        <w:t>3. BAR CHART HORIZONTAL — Top 5 áreas de mejora</w:t>
        <w:br/>
        <w:t xml:space="preserve">   Datos: 5 sub-dominios con menor puntuación</w:t>
        <w:br/>
        <w:t xml:space="preserve">   Orden: Ascendente (peor a mejor)</w:t>
        <w:br/>
        <w:t xml:space="preserve">   Referencia: Línea vertical en valor 3.0 (mínimo aceptable)</w:t>
        <w:br/>
        <w:br/>
        <w:t>4. HEATMAP TABLE — Madurez por control y pilar</w:t>
        <w:br/>
        <w:t xml:space="preserve">   Filas: Cada sub-dominio CIA (15 filas)</w:t>
        <w:br/>
        <w:t xml:space="preserve">   Columnas: Puntuación actual | Benchmark sector | GAP</w:t>
        <w:br/>
        <w:t xml:space="preserve">   Formato condicional tricolor (rojo-amarillo-verde)</w:t>
        <w:br/>
        <w:br/>
        <w:t>5. KPI CARDS (Tarjetas de indicadores clave)</w:t>
        <w:br/>
        <w:t xml:space="preserve">   Card 1: IGM-CIA general con delta vs. año anterior (si disponible)</w:t>
        <w:br/>
        <w:t xml:space="preserve">   Card 2: Número de alertas críticas activas</w:t>
        <w:br/>
        <w:t xml:space="preserve">   Card 3: ROSI estimado (%)</w:t>
        <w:br/>
        <w:t xml:space="preserve">   Card 4: Nivel de madurez (texto con color)</w:t>
        <w:br/>
        <w:t xml:space="preserve">   Card 5: Percentil vs. sector</w:t>
        <w:br/>
        <w:br/>
        <w:t>6. TABLA PLAN DE ACCIÓN (generada automáticamente)</w:t>
        <w:br/>
        <w:t xml:space="preserve">   Columnas: Área | IGM actual | IGM objetivo | Brecha | Acciones recomendadas | Plazo | Marco normativo</w:t>
        <w:br/>
        <w:t xml:space="preserve">   Ordenada por: Brecha descendente (prioridad automática)</w:t>
        <w:br/>
        <w:t xml:space="preserve">   Pre-rellena recomendaciones basadas en puntuación &lt; 3.0</w:t>
        <w:br/>
      </w:r>
    </w:p>
    <w:p>
      <w:pPr>
        <w:pStyle w:val="Heading2"/>
        <w:keepNext/>
        <w:keepLines/>
      </w:pPr>
      <w:r>
        <w:rPr>
          <w:color w:val="0066CC"/>
        </w:rPr>
        <w:t>GUÍA DE IMPLEMENTACIÓN TÉCNICA</w:t>
      </w:r>
    </w:p>
    <w:p>
      <w:pPr>
        <w:pStyle w:val="Heading3"/>
        <w:keepNext/>
        <w:keepLines/>
      </w:pPr>
      <w:r>
        <w:t>Paso 1: Configuración inicial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Habilitar herramientas de análisis en Excel:</w:t>
        <w:br/>
        <w:t>Archivo → Opciones → Complementos → Herramientas para análisis → Aceptar</w:t>
        <w:br/>
        <w:br/>
        <w:t>// Definir nombres de rango para facilitar fórmulas:</w:t>
        <w:br/>
        <w:t>Fórmulas → Administrador de nombres → Nuevo:</w:t>
        <w:br/>
        <w:t xml:space="preserve">  IGM_C_Scores     = IGM_CALC!$I$2:$I$5000</w:t>
        <w:br/>
        <w:t xml:space="preserve">  IGM_I_Scores     = IGM_CALC!$N$2:$N$5000</w:t>
        <w:br/>
        <w:t xml:space="preserve">  IGM_A_Scores     = IGM_CALC!$S$2:$S$5000</w:t>
        <w:br/>
        <w:t xml:space="preserve">  IGM_CIA_Scores   = IGM_CALC!$T$2:$T$5000</w:t>
        <w:br/>
        <w:t xml:space="preserve">  Sectores         = DATOS_RAW!$C$2:$C$5000</w:t>
        <w:br/>
      </w:r>
    </w:p>
    <w:p>
      <w:pPr>
        <w:pStyle w:val="Heading3"/>
        <w:keepNext/>
        <w:keepLines/>
      </w:pPr>
      <w:r>
        <w:t>Paso 2: Importación desde Google Forms / LimeSurvey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Los formularios online exportan en .csv o .xlsx.</w:t>
        <w:br/>
        <w:t>Proceso de importación:</w:t>
        <w:br/>
        <w:t xml:space="preserve">  1. Exportar respuestas como .csv (UTF-8)</w:t>
        <w:br/>
        <w:t xml:space="preserve">  2. Abrir en Excel con asistente de importación</w:t>
        <w:br/>
        <w:t xml:space="preserve">  3. Mapear columnas a estructura DATOS_RAW</w:t>
        <w:br/>
        <w:t xml:space="preserve">  4. Aplicar tablas de CODIFICACION mediante VLOOKUP</w:t>
        <w:br/>
        <w:t xml:space="preserve">  5. Verificar rangos de validación (1-5)</w:t>
        <w:br/>
        <w:t xml:space="preserve">  6. Refrescar tablas dinámicas (Ctrl+Alt+F5)</w:t>
        <w:br/>
      </w:r>
    </w:p>
    <w:p>
      <w:pPr>
        <w:pStyle w:val="Heading3"/>
        <w:keepNext/>
        <w:keepLines/>
      </w:pPr>
      <w:r>
        <w:t>Paso 3: Protección de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Proteger hojas de cálculo (excepto celdas amarillas de entrada):</w:t>
        <w:br/>
        <w:t xml:space="preserve">  Revisar → Proteger hoja → Contraseña → Solo permitir:</w:t>
        <w:br/>
        <w:t xml:space="preserve">    - Seleccionar celdas desbloqueadas</w:t>
        <w:br/>
        <w:t xml:space="preserve">    - Rellenar celdas amarillas (Input)</w:t>
        <w:br/>
        <w:t xml:space="preserve">    - Filtrar (para tablas dinámicas)</w:t>
        <w:br/>
      </w:r>
    </w:p>
    <w:p>
      <w:pPr>
        <w:pStyle w:val="Heading2"/>
        <w:keepNext/>
        <w:keepLines/>
      </w:pPr>
      <w:r>
        <w:rPr>
          <w:color w:val="0066CC"/>
        </w:rPr>
        <w:t>MÉTRICAS CLAVE CALCULADAS AUTOMÁTICAMENTE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Ubicación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IGM_C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ponderada sub-dominios 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IGM_CALC col.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/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IGM_I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ponderada sub-dominios 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IGM_CALC col. 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/ NIST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IGM_A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ponderada sub-dominios 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IGM_CALC col. 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/ ISO 22301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IGM_CIA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 ponderada sectorial C+I+A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IGM_CALC col. 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CMMI / C2M2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× Magnitud pérdida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ROI_FAIR B12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FAIR Institute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(Beneficio - Inversión) / Inversión × 100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ROI_FAIR B15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FAIR / NIST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Payback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/ (Beneficio/12)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ROI_FAIR B16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financiero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Percentil sectorial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PERCENTRANK vs. muestra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 Inv.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Alertas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COUNT condición alerta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IGM_CALC col. W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/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GAP vs. benchmark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IGM individual - IGM mediana sector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BENCHMARK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Análisis comparativo</w:t>
            </w:r>
          </w:p>
        </w:tc>
      </w:tr>
    </w:tbl>
    <w:p/>
    <w:p>
      <w:r>
        <w:rPr>
          <w:i/>
        </w:rPr>
        <w:t>Plantilla Excel CIA Triad Survey Kit v2025 · Basada en: FAIR Institute 2025, IBM Cost of Data Breach 2025, ENISA NIS Investments 2025, NIST CSF 2.0, ISO/IEC 27001:2022, C2M2 v2.1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