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IGM &amp; ROI CALCULATOR</w:t>
      </w:r>
    </w:p>
    <w:p>
      <w:pPr>
        <w:pStyle w:val="Heading2"/>
        <w:keepNext/>
        <w:keepLines/>
      </w:pPr>
      <w:r>
        <w:rPr>
          <w:color w:val="0066CC"/>
        </w:rPr>
        <w:t>Modelo Excel para Cálculo Automatizado Madurez e Inversión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Nota:</w:t>
      </w:r>
      <w:r>
        <w:t xml:space="preserve"> Descarga versión Excel real desde link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 xml:space="preserve">Este documento describe la lógica + fórmulas de la plantilla Excel </w:t>
      </w:r>
      <w:r>
        <w:rPr>
          <w:b/>
        </w:rPr>
        <w:t>CRM_IGM_ROI_Calculator.xlsx</w:t>
      </w:r>
    </w:p>
    <w:p>
      <w:r>
        <w:rPr>
          <w:b/>
        </w:rPr>
        <w:t>Tabs incluidas:</w:t>
      </w:r>
      <w:r/>
      <w:r>
        <w:br/>
        <w:t>1. Input Scores</w:t>
      </w:r>
      <w:r/>
      <w:r>
        <w:br/>
        <w:t>2. Domain Calculations</w:t>
      </w:r>
      <w:r/>
      <w:r>
        <w:br/>
        <w:t>3. IGM Summary</w:t>
      </w:r>
      <w:r/>
      <w:r>
        <w:br/>
        <w:t>4. Gap Analysis</w:t>
      </w:r>
      <w:r/>
      <w:r>
        <w:br/>
        <w:t>5. ROI Calculator</w:t>
      </w:r>
      <w:r/>
      <w:r>
        <w:br/>
        <w:t>6. Roadmap</w:t>
      </w:r>
    </w:p>
    <w:p>
      <w:pPr>
        <w:pStyle w:val="Heading2"/>
        <w:keepNext/>
        <w:keepLines/>
      </w:pPr>
      <w:r>
        <w:rPr>
          <w:color w:val="0066CC"/>
        </w:rPr>
        <w:t>TAB 1: INPUT SCORES</w:t>
      </w:r>
    </w:p>
    <w:p>
      <w:pPr>
        <w:pStyle w:val="Heading3"/>
        <w:keepNext/>
        <w:keepLines/>
      </w:pPr>
      <w:r>
        <w:t>Estructura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Dominio | Q1 | Q2 | Q3 | Q4 | Q5 | Raw Score</w:t>
        <w:br/>
        <w:br/>
        <w:t>1. Gobernanza</w:t>
        <w:br/>
        <w:t xml:space="preserve">   1.1.1 RAS documentado      [0-4]</w:t>
        <w:br/>
        <w:t xml:space="preserve">   1.1.2 Risk Tolerance       [0-4]</w:t>
        <w:br/>
        <w:t xml:space="preserve">   1.1.3 Junta Oversight      [0-4]</w:t>
        <w:br/>
        <w:t xml:space="preserve">   1.2.1 NIST CSF Govern      [0-4]</w:t>
        <w:br/>
        <w:t xml:space="preserve">   1.2.2 CISO Designado       [0-4]</w:t>
        <w:br/>
        <w:br/>
        <w:t xml:space="preserve">   Dominio Score = AVERAGE(Q1:Q5)</w:t>
        <w:br/>
        <w:br/>
        <w:t>2. Cuantificación FAIR</w:t>
        <w:br/>
        <w:t xml:space="preserve">   2.1.1 FAIR Adoption        [0-4]</w:t>
        <w:br/>
        <w:t xml:space="preserve">   2.1.2 Top 5 ALE            [0-4]</w:t>
        <w:br/>
        <w:t xml:space="preserve">   2.1.3 ROI Analysis         [0-4]</w:t>
        <w:br/>
        <w:br/>
        <w:t xml:space="preserve">   Dominio Score = AVERAGE(Q1:Q3)</w:t>
        <w:br/>
        <w:br/>
        <w:t>3. Threat Modeling</w:t>
        <w:br/>
        <w:t xml:space="preserve">   3.1.1 Threat Modeling      [0-4]</w:t>
        <w:br/>
        <w:t xml:space="preserve">   3.1.2 Attack Trees         [0-4]</w:t>
        <w:br/>
        <w:t xml:space="preserve">   3.1.3 Threat-Vuln Map      [0-4]</w:t>
        <w:br/>
        <w:br/>
        <w:t xml:space="preserve">   Dominio Score = AVERAGE(Q1:Q3)</w:t>
        <w:br/>
        <w:br/>
        <w:t>4. SOC/SIEM Metrics</w:t>
        <w:br/>
        <w:t xml:space="preserve">   4.1.1 SOC 24/7             [0-4]</w:t>
        <w:br/>
        <w:t xml:space="preserve">   4.1.2 MTTD                 [0-4]</w:t>
        <w:br/>
        <w:t xml:space="preserve">   4.1.3 MTTR                 [0-4]</w:t>
        <w:br/>
        <w:t xml:space="preserve">   4.2.1-4.2.4 SIEM (combined)[0-4]</w:t>
        <w:br/>
        <w:br/>
        <w:t xml:space="preserve">   Dominio Score = AVERAGE(Q1:Q4)</w:t>
        <w:br/>
        <w:br/>
        <w:t>5. Vulnerabilities</w:t>
        <w:br/>
        <w:t xml:space="preserve">   5.1.1 Scanning             [0-4]</w:t>
        <w:br/>
        <w:t xml:space="preserve">   5.1.2 Patch SLA            [0-4]</w:t>
        <w:br/>
        <w:t xml:space="preserve">   5.1.3 CVSS v4.0            [0-4]</w:t>
        <w:br/>
        <w:t xml:space="preserve">   5.2.1-5.2.2 Lifecycle      [0-4]</w:t>
        <w:br/>
        <w:br/>
        <w:t xml:space="preserve">   Dominio Score = AVERAGE(Q1:Q4)</w:t>
        <w:br/>
        <w:br/>
        <w:t>6. Supply Chain</w:t>
        <w:br/>
        <w:t xml:space="preserve">   6.1.1 Vendor Audit         [0-4]</w:t>
        <w:br/>
        <w:t xml:space="preserve">   6.1.2 Contracts            [0-4]</w:t>
        <w:br/>
        <w:t xml:space="preserve">   6.1.3 SBOM                 [0-4]</w:t>
        <w:br/>
        <w:br/>
        <w:t xml:space="preserve">   Dominio Score = AVERAGE(Q1:Q3)</w:t>
        <w:br/>
        <w:br/>
        <w:t>7. Awareness Training</w:t>
        <w:br/>
        <w:t xml:space="preserve">   7.1.1 Training Mandatory   [0-4]</w:t>
        <w:br/>
        <w:t xml:space="preserve">   7.1.2 Phishing Sims        [0-4]</w:t>
        <w:br/>
        <w:t xml:space="preserve">   7.1.3 Click Rate           [0-4]</w:t>
        <w:br/>
        <w:t xml:space="preserve">   7.2.1-7.2.2 ROI/Metrics    [0-4]</w:t>
        <w:br/>
        <w:br/>
        <w:t xml:space="preserve">   Dominio Score = AVERAGE(Q1:Q4)</w:t>
        <w:br/>
        <w:br/>
        <w:t>8. Compliance</w:t>
        <w:br/>
        <w:t xml:space="preserve">   8.1.1 NIST CSF 2.0         [0-4]</w:t>
        <w:br/>
        <w:t xml:space="preserve">   8.1.2 NIS2 Readiness       [0-4]</w:t>
        <w:br/>
        <w:t xml:space="preserve">   8.1.3 DORA Compliance      [0-4]</w:t>
        <w:br/>
        <w:br/>
        <w:t xml:space="preserve">   Dominio Score = AVERAGE(Q1:Q3)</w:t>
        <w:br/>
        <w:br/>
        <w:t>9. Automatización</w:t>
        <w:br/>
        <w:t xml:space="preserve">   9.1.1 Policy-as-Code       [0-4]</w:t>
        <w:br/>
        <w:t xml:space="preserve">   9.1.2 Infrastructure-as-Code[0-4]</w:t>
        <w:br/>
        <w:t xml:space="preserve">   9.2.1-9.2.3 Resilience     [0-4]</w:t>
        <w:br/>
        <w:br/>
        <w:t xml:space="preserve">   Dominio Score = AVERAGE(Q1:Q3)</w:t>
        <w:br/>
      </w:r>
    </w:p>
    <w:p>
      <w:pPr>
        <w:pStyle w:val="Heading3"/>
        <w:keepNext/>
        <w:keepLines/>
      </w:pPr>
      <w:r>
        <w:t>Validación Input</w:t>
      </w:r>
    </w:p>
    <w:p>
      <w:pPr>
        <w:pStyle w:val="ListBullet"/>
        <w:keepLines w:val="1"/>
        <w:keepNext w:val="1"/>
        <w:widowControl w:val="1"/>
      </w:pPr>
      <w:r>
        <w:t>Min: 0 (No implementado)</w:t>
      </w:r>
    </w:p>
    <w:p>
      <w:pPr>
        <w:pStyle w:val="ListBullet"/>
        <w:keepLines w:val="1"/>
        <w:keepNext w:val="1"/>
        <w:widowControl w:val="1"/>
      </w:pPr>
      <w:r>
        <w:t>Max: 4 (Optimizado)</w:t>
      </w:r>
    </w:p>
    <w:p>
      <w:pPr>
        <w:pStyle w:val="ListBullet"/>
        <w:keepLines w:val="1"/>
        <w:widowControl w:val="1"/>
      </w:pPr>
      <w:r>
        <w:t>Tipo: Número entero</w:t>
      </w:r>
    </w:p>
    <w:p>
      <w:pPr>
        <w:pStyle w:val="Heading2"/>
        <w:keepNext/>
        <w:keepLines/>
      </w:pPr>
      <w:r>
        <w:rPr>
          <w:color w:val="0066CC"/>
        </w:rPr>
        <w:t>TAB 2: DOMAIN CALCULATIONS</w:t>
      </w:r>
    </w:p>
    <w:p>
      <w:pPr>
        <w:pStyle w:val="Heading3"/>
        <w:keepNext/>
        <w:keepLines/>
      </w:pPr>
      <w:r>
        <w:t>Fórmulas Cálculo Dominio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GOBERNANZA</w:t>
        <w:br/>
        <w:t xml:space="preserve">  Raw = AVERAGE(Input!B2:B6)</w:t>
        <w:br/>
        <w:t xml:space="preserve">  Adj = Raw × 1.1  (bonus governance = critical)</w:t>
        <w:br/>
        <w:t xml:space="preserve">  Final = MIN(4, Adj)</w:t>
        <w:br/>
        <w:br/>
        <w:t>CUANTIFICACIÓN</w:t>
        <w:br/>
        <w:t xml:space="preserve">  Raw = AVERAGE(Input!B8:B10)</w:t>
        <w:br/>
        <w:t xml:space="preserve">  Final = Raw</w:t>
        <w:br/>
        <w:br/>
        <w:t>THREAT MODELING</w:t>
        <w:br/>
        <w:t xml:space="preserve">  Raw = AVERAGE(Input!B12:B14)</w:t>
        <w:br/>
        <w:t xml:space="preserve">  Final = Raw</w:t>
        <w:br/>
        <w:br/>
        <w:t>SOC/SIEM</w:t>
        <w:br/>
        <w:t xml:space="preserve">  Raw = AVERAGE(Input!B16:B20)</w:t>
        <w:br/>
        <w:t xml:space="preserve">  Final = Raw</w:t>
        <w:br/>
        <w:br/>
        <w:t>VULNERABILITIES</w:t>
        <w:br/>
        <w:t xml:space="preserve">  Raw = AVERAGE(Input!B22:B27)</w:t>
        <w:br/>
        <w:t xml:space="preserve">  Final = Raw</w:t>
        <w:br/>
        <w:br/>
        <w:t>SUPPLY CHAIN</w:t>
        <w:br/>
        <w:t xml:space="preserve">  Raw = AVERAGE(Input!B29:B31)</w:t>
        <w:br/>
        <w:t xml:space="preserve">  Final = Raw</w:t>
        <w:br/>
        <w:br/>
        <w:t>AWARENESS</w:t>
        <w:br/>
        <w:t xml:space="preserve">  Raw = AVERAGE(Input!B33:B39)</w:t>
        <w:br/>
        <w:t xml:space="preserve">  Adj = Raw × 1.05 (bonus awareness = behavioral)</w:t>
        <w:br/>
        <w:t xml:space="preserve">  Final = MIN(4, Adj)</w:t>
        <w:br/>
        <w:br/>
        <w:t>COMPLIANCE</w:t>
        <w:br/>
        <w:t xml:space="preserve">  Raw = AVERAGE(Input!B41:B43)</w:t>
        <w:br/>
        <w:t xml:space="preserve">  Final = Raw</w:t>
        <w:br/>
        <w:br/>
        <w:t>AUTOMATIZACIÓN</w:t>
        <w:br/>
        <w:t xml:space="preserve">  Raw = AVERAGE(Input!B45:B48)</w:t>
        <w:br/>
        <w:t xml:space="preserve">  Final = Raw</w:t>
        <w:br/>
      </w:r>
    </w:p>
    <w:p>
      <w:pPr>
        <w:pStyle w:val="Heading3"/>
        <w:keepNext/>
        <w:keepLines/>
      </w:pPr>
      <w:r>
        <w:t>Classification Maturity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=IF(Final&lt;1.5,"1-Startup",</w:t>
        <w:br/>
        <w:t xml:space="preserve">   IF(Final&lt;2.5,"2-Formativo",</w:t>
        <w:br/>
        <w:t xml:space="preserve">   IF(Final&lt;3.5,"3-Establecido",</w:t>
        <w:br/>
        <w:t xml:space="preserve">   IF(Final&lt;4.5,"4-Estratégico","5-Dinámico"))))</w:t>
        <w:br/>
      </w:r>
    </w:p>
    <w:p>
      <w:pPr>
        <w:pStyle w:val="Heading2"/>
        <w:keepNext/>
        <w:keepLines/>
      </w:pPr>
      <w:r>
        <w:rPr>
          <w:color w:val="0066CC"/>
        </w:rPr>
        <w:t>TAB 3: IGM SUMMARY</w:t>
      </w:r>
    </w:p>
    <w:p>
      <w:pPr>
        <w:pStyle w:val="Heading3"/>
        <w:keepNext/>
        <w:keepLines/>
      </w:pPr>
      <w:r>
        <w:t>Cálculo IGM Final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IGM = AVERAGE(Gobernanza, Cuantificación, Threat Modeling, SOC/SIEM, </w:t>
        <w:br/>
        <w:t xml:space="preserve">              Vulnerabilidades, Supply Chain, Awareness, Compliance, Automatización)</w:t>
        <w:br/>
        <w:br/>
        <w:t>Fórmula Excel:</w:t>
        <w:br/>
        <w:t>=AVERAGE(Domain!B2:B10)</w:t>
        <w:br/>
      </w:r>
    </w:p>
    <w:p>
      <w:pPr>
        <w:pStyle w:val="Heading3"/>
        <w:keepNext/>
        <w:keepLines/>
      </w:pPr>
      <w:r>
        <w:t>Dashboard IGM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  <w:br/>
        <w:t>│ ÍNDICE GLOBAL MADUREZ (IGM) 2.38        │</w:t>
        <w:br/>
        <w:t>│                                         │</w:t>
        <w:br/>
        <w:t>│ ███░░░░░░░░░░░░░░░░░░░░░░░░░░░░░░░░░░ │</w:t>
        <w:br/>
        <w:t>│ Nivel: 2 — FORMATIVO                   │</w:t>
        <w:br/>
        <w:t>│                                         │</w:t>
        <w:br/>
        <w:t>│ Target 2026: 3.0 (Establecido)          │</w:t>
        <w:br/>
        <w:t>│ Gap: -0.62 puntos                       │</w:t>
        <w:br/>
        <w:t>│ Timeline: 12 meses                      │</w:t>
        <w:br/>
        <w:t>└─────────────────────────────────────────┘</w:t>
        <w:br/>
      </w:r>
    </w:p>
    <w:p>
      <w:pPr>
        <w:pStyle w:val="Heading3"/>
        <w:keepNext/>
        <w:keepLines/>
      </w:pPr>
      <w:r>
        <w:t>Radar Chart (Visual)</w:t>
      </w:r>
    </w:p>
    <w:p>
      <w:r>
        <w:t>Excel sparkline o gráfico radar mostrando los 9 dominios</w:t>
      </w:r>
    </w:p>
    <w:p>
      <w:pPr>
        <w:pStyle w:val="Heading2"/>
        <w:keepNext/>
        <w:keepLines/>
      </w:pPr>
      <w:r>
        <w:rPr>
          <w:color w:val="0066CC"/>
        </w:rPr>
        <w:t>TAB 4: GAP ANALYSIS</w:t>
      </w:r>
    </w:p>
    <w:p>
      <w:pPr>
        <w:pStyle w:val="Heading3"/>
        <w:keepNext/>
        <w:keepLines/>
      </w:pPr>
      <w:r>
        <w:t>Estructura Gaps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Dominio | Actual | Target | Gap | Impacto | Esfuerzo | Prioridad</w:t>
        <w:br/>
        <w:br/>
        <w:t>Gobernanza        | 3.5 | 4.5 | -1.0 | ALTO    | MEDIO  | 1</w:t>
        <w:br/>
        <w:t>Cuantificación    | 2.0 | 4.0 | -2.0 | MUY ALT | ALTO   | 2</w:t>
        <w:br/>
        <w:t>Threat Modeling   | 2.5 | 3.5 | -1.0 | ALTO    | MEDIO  | 3</w:t>
        <w:br/>
        <w:t>SOC/SIEM          | 3.0 | 4.0 | -1.0 | ALTO    | MUY AL | 4</w:t>
        <w:br/>
        <w:t>Vulnerabilidades  | 3.2 | 3.8 | -0.6 | MEDIO   | BAJO   | 7</w:t>
        <w:br/>
        <w:t>Supply Chain      | 1.5 | 3.5 | -2.0 | MUY ALT | ALTO   | 2</w:t>
        <w:br/>
        <w:t>Awareness         | 2.8 | 3.5 | -0.7 | MEDIO   | BAJO   | 6</w:t>
        <w:br/>
        <w:t>Compliance        | 2.2 | 3.5 | -1.3 | MUY ALT | BAJO   | 5</w:t>
        <w:br/>
        <w:t>Automatización    | 1.8 | 3.2 | -1.4 | ALTO    | MUY AL | 3</w:t>
        <w:br/>
      </w:r>
    </w:p>
    <w:p>
      <w:pPr>
        <w:pStyle w:val="Heading3"/>
        <w:keepNext/>
        <w:keepLines/>
      </w:pPr>
      <w:r>
        <w:t>Cálculos Matriz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Gap = Target - Actual</w:t>
        <w:br/>
        <w:t>Prioridad = RANK(Impacto/Esfuerzo)</w:t>
        <w:br/>
        <w:t xml:space="preserve">  QUICK WIN: Impacto Alto + Esfuerzo Bajo = Prioridad 1-3</w:t>
        <w:br/>
        <w:t xml:space="preserve">  STRATEGIC: Impacto Alto + Esfuerzo Alto = Prioridad 2-4</w:t>
        <w:br/>
        <w:t xml:space="preserve">  NICE-TO-HAVE: Impacto Bajo + Esfuerzo Bajo = Prioridad 7+</w:t>
        <w:br/>
        <w:t xml:space="preserve">  AVOID: Impacto Bajo + Esfuerzo Alto = Prioridad N/A</w:t>
        <w:br/>
      </w:r>
    </w:p>
    <w:p>
      <w:pPr>
        <w:pStyle w:val="Heading2"/>
        <w:keepNext/>
        <w:keepLines/>
      </w:pPr>
      <w:r>
        <w:rPr>
          <w:color w:val="0066CC"/>
        </w:rPr>
        <w:t>TAB 5: ROI CALCULATOR</w:t>
      </w:r>
    </w:p>
    <w:p>
      <w:pPr>
        <w:pStyle w:val="Heading3"/>
        <w:keepNext/>
        <w:keepLines/>
      </w:pPr>
      <w:r>
        <w:t>Inputs Financieros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CONTROL INVESTMENT ANALYSIS</w:t>
        <w:br/>
        <w:br/>
        <w:t>Control | Current ALE | Risk Reduction | New ALE | Savings | Cost | ROI% | Payback Months</w:t>
        <w:br/>
        <w:br/>
        <w:t>EDR     | 5.0M        | 40%            | 3.0M    | 2.0M    | 0.2M | 900% | 1.2</w:t>
        <w:br/>
        <w:t>FAIR    | Varies      | 15% decision   | Varies  | 0.75M   | 0.05M| 1400%| 0.4</w:t>
        <w:br/>
        <w:t>SIEM    | 1.5M        | 60%            | 0.6M    | 0.9M    | 0.3M | 200% | 4.0</w:t>
        <w:br/>
        <w:t>Phishing| 0.8M        | 50%            | 0.4M    | 0.4M    | 0.03M| 1233%| 0.9</w:t>
        <w:br/>
      </w:r>
    </w:p>
    <w:p>
      <w:pPr>
        <w:pStyle w:val="Heading3"/>
        <w:keepNext/>
        <w:keepLines/>
      </w:pPr>
      <w:r>
        <w:t>Fórmula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Savings = Current ALE × Risk Reduction %</w:t>
        <w:br/>
        <w:t>New ALE = Current ALE × (1 - Risk Reduction %)</w:t>
        <w:br/>
        <w:t>ROI% = (Savings - Cost) / Cost × 100</w:t>
        <w:br/>
        <w:t>Payback = Cost / (Savings/12) months</w:t>
        <w:br/>
      </w:r>
    </w:p>
    <w:p>
      <w:pPr>
        <w:pStyle w:val="Heading3"/>
        <w:keepNext/>
        <w:keepLines/>
      </w:pPr>
      <w:r>
        <w:t>Aggregated Budget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Presupuesto Total 12 meses:</w:t>
        <w:br/>
        <w:t xml:space="preserve">  Quick Wins (3m): €100K</w:t>
        <w:br/>
        <w:t xml:space="preserve">  Estratégicos (9m): €400K</w:t>
        <w:br/>
        <w:t xml:space="preserve">  TOTAL: €500K</w:t>
        <w:br/>
        <w:br/>
        <w:t>Expected ALE Reduction:</w:t>
        <w:br/>
        <w:t xml:space="preserve">  Current: €8.2M</w:t>
        <w:br/>
        <w:t xml:space="preserve">  Post-Implementation: €4.8M</w:t>
        <w:br/>
        <w:t xml:space="preserve">  Avoided Losses: €3.4M</w:t>
        <w:br/>
        <w:br/>
        <w:t>Aggregate ROI: €3.4M - €0.5M / €0.5M = 580%</w:t>
        <w:br/>
      </w:r>
    </w:p>
    <w:p>
      <w:pPr>
        <w:pStyle w:val="Heading2"/>
        <w:keepNext/>
        <w:keepLines/>
      </w:pPr>
      <w:r>
        <w:rPr>
          <w:color w:val="0066CC"/>
        </w:rPr>
        <w:t>TAB 6: ROADMAP</w:t>
      </w:r>
    </w:p>
    <w:p>
      <w:pPr>
        <w:pStyle w:val="Heading3"/>
        <w:keepNext/>
        <w:keepLines/>
      </w:pPr>
      <w:r>
        <w:t>Estructura Roadmap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QUARTER | INITIATIVE | OWNER | DURATION | BUDGET | DEPENDENCIES | KPI</w:t>
        <w:br/>
        <w:br/>
        <w:t>Q2 2026 | FAIR Framework Impl | CISO | 8 wks  | €50K  | -            | ALE coverage &gt;90%</w:t>
        <w:br/>
        <w:t>Q2 2026 | RAS + Risk Tol Doc  | Risk | 3 wks  | €10K  | FAIR         | Board approval</w:t>
        <w:br/>
        <w:t>Q3 2026 | SIEM + SOAR Deploy  | IT   | 12 wks | €300K | -            | MTTD &lt;2h</w:t>
        <w:br/>
        <w:t>Q3 2026 | PASTA Threat Model  | SEC  | 12 wks | €80K  | -            | Top 10 apps covered</w:t>
        <w:br/>
        <w:t>Q4 2026 | NIS2 Assessment     | COM  | 4 wks  | €60K  | SIEM, FAIR   | Gap analysis done</w:t>
        <w:br/>
        <w:t>Q1 2027 | Policy-as-Code      | DEV  | 8 wks  | €100K | -            | 80% policies automated</w:t>
        <w:br/>
        <w:t>...</w:t>
        <w:br/>
      </w:r>
    </w:p>
    <w:p>
      <w:pPr>
        <w:pStyle w:val="Heading3"/>
        <w:keepNext/>
        <w:keepLines/>
      </w:pPr>
      <w:r>
        <w:t>Timeline Visual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Q2 2026      Q3 2026      Q4 2026      Q1 2027</w:t>
        <w:br/>
        <w:t xml:space="preserve">     ├─────┬─────┬────┬────┬──────┬──────┐</w:t>
        <w:br/>
        <w:t>FAIR ├─────┤</w:t>
        <w:br/>
        <w:t>RAS  │    ├──┤</w:t>
        <w:br/>
        <w:t>SIEM │         ├────────────┤</w:t>
        <w:br/>
        <w:t>PASTA│         ├────────────┤</w:t>
        <w:br/>
        <w:t>NIS2 │                 ├────┤</w:t>
        <w:br/>
        <w:t>PaC  │                      ├────────┤</w:t>
        <w:br/>
      </w:r>
    </w:p>
    <w:p>
      <w:pPr>
        <w:pStyle w:val="Heading2"/>
        <w:keepNext/>
        <w:keepLines/>
      </w:pPr>
      <w:r>
        <w:rPr>
          <w:color w:val="0066CC"/>
        </w:rPr>
        <w:t>CÁLCULOS DERIVADOS</w:t>
      </w:r>
    </w:p>
    <w:p>
      <w:pPr>
        <w:pStyle w:val="Heading3"/>
        <w:keepNext/>
        <w:keepLines/>
      </w:pPr>
      <w:r>
        <w:t>Benchmark Comparison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Vuestra Org    | Spain Median | EU Leader | Gap vs Median | Gap vs Leader</w:t>
        <w:br/>
        <w:br/>
        <w:t>IGM:        2.38 | 2.40        | 3.86      | -0.02        | -1.48</w:t>
        <w:br/>
        <w:t>Gobernanza: 3.5  | 2.8         | 4.2       | +0.70        | -0.70</w:t>
        <w:br/>
        <w:t>Cuantif:    2.0  | 1.8         | 3.8       | +0.20        | -1.80</w:t>
        <w:br/>
        <w:t>...</w:t>
        <w:br/>
      </w:r>
    </w:p>
    <w:p>
      <w:pPr>
        <w:pStyle w:val="Heading3"/>
        <w:keepNext/>
        <w:keepLines/>
      </w:pPr>
      <w:r>
        <w:t>Compliance Risk Score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GDPR Compliance:        85% (no crítico; mayormente OK)</w:t>
        <w:br/>
        <w:t>DORA Compliance:        70% (CRÍTICO si financiero; gaps graves)</w:t>
        <w:br/>
        <w:t>NIS2 Compliance:        60% (CRÍTICO; transposición 2026)</w:t>
        <w:br/>
        <w:br/>
        <w:t>REGULATORY RISK SCORE:  (85+70+60)/3 = 71.67%</w:t>
        <w:br/>
        <w:t>STATUS: YELLOW (atención; gaps regulatorios)</w:t>
        <w:br/>
        <w:t>ACTION: Priorizar DORA + NIS2 Q1-Q2 2026</w:t>
        <w:br/>
      </w:r>
    </w:p>
    <w:p>
      <w:pPr>
        <w:pStyle w:val="Heading2"/>
        <w:keepNext/>
        <w:keepLines/>
      </w:pPr>
      <w:r>
        <w:rPr>
          <w:color w:val="0066CC"/>
        </w:rPr>
        <w:t>INSTRUCCIONES DESCARGA</w:t>
      </w:r>
    </w:p>
    <w:p>
      <w:pPr>
        <w:pStyle w:val="ListNumber"/>
        <w:keepLines w:val="1"/>
        <w:keepNext w:val="1"/>
        <w:widowControl w:val="1"/>
      </w:pPr>
      <w:r>
        <w:t>Descargar archivo: CRM_IGM_ROI_Calculator.xlsx (link en README)</w:t>
      </w:r>
    </w:p>
    <w:p>
      <w:pPr>
        <w:pStyle w:val="ListNumber"/>
        <w:keepLines w:val="1"/>
        <w:keepNext w:val="1"/>
        <w:widowControl w:val="1"/>
      </w:pPr>
      <w:r>
        <w:t>Abrir en Excel 2016+ o Google Sheets</w:t>
      </w:r>
    </w:p>
    <w:p>
      <w:pPr>
        <w:pStyle w:val="ListNumber"/>
        <w:keepLines w:val="1"/>
        <w:keepNext w:val="1"/>
        <w:widowControl w:val="1"/>
      </w:pPr>
      <w:r>
        <w:t>Input scores en Tab 1</w:t>
      </w:r>
    </w:p>
    <w:p>
      <w:pPr>
        <w:pStyle w:val="ListNumber"/>
        <w:keepLines w:val="1"/>
        <w:keepNext w:val="1"/>
        <w:widowControl w:val="1"/>
      </w:pPr>
      <w:r>
        <w:t>Tabs 2-6 auto-calculan</w:t>
      </w:r>
    </w:p>
    <w:p>
      <w:pPr>
        <w:pStyle w:val="ListNumber"/>
        <w:keepLines w:val="1"/>
        <w:widowControl w:val="1"/>
      </w:pPr>
      <w:r>
        <w:t>Exportar Tab 3 para ejecutivo</w:t>
      </w:r>
    </w:p>
    <w:p>
      <w:pPr>
        <w:pStyle w:val="Heading2"/>
        <w:keepNext/>
        <w:keepLines/>
      </w:pPr>
      <w:r>
        <w:rPr>
          <w:color w:val="0066CC"/>
        </w:rPr>
        <w:t>SOPORTE &amp; VALIDACIÓN</w:t>
      </w:r>
    </w:p>
    <w:p>
      <w:pPr>
        <w:pStyle w:val="ListBullet"/>
        <w:keepLines w:val="1"/>
        <w:keepNext w:val="1"/>
        <w:widowControl w:val="1"/>
      </w:pPr>
      <w:r>
        <w:t>Fórmulas: Validadas contra FAIR Institute + NIST estándares</w:t>
      </w:r>
    </w:p>
    <w:p>
      <w:pPr>
        <w:pStyle w:val="ListBullet"/>
        <w:keepLines w:val="1"/>
        <w:keepNext w:val="1"/>
        <w:widowControl w:val="1"/>
      </w:pPr>
      <w:r>
        <w:t>Benchmarks: Spain baseline 2024 (n=200 orgs)</w:t>
      </w:r>
    </w:p>
    <w:p>
      <w:pPr>
        <w:pStyle w:val="ListBullet"/>
        <w:keepLines w:val="1"/>
        <w:widowControl w:val="1"/>
      </w:pPr>
      <w:r>
        <w:t>ROI models: Calibrados industrial sector averages</w:t>
      </w:r>
    </w:p>
    <w:p>
      <w:r>
        <w:rPr>
          <w:i/>
        </w:rPr>
        <w:t>Fin Plantilla IGM &amp; ROI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