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TEMPLATE REPORTE EJECUTIVO — POWERPOINT STRUCTURE</w:t>
      </w:r>
    </w:p>
    <w:p>
      <w:pPr>
        <w:pStyle w:val="Heading2"/>
        <w:keepNext/>
        <w:keepLines/>
      </w:pPr>
      <w:r>
        <w:rPr>
          <w:color w:val="0066CC"/>
        </w:rPr>
        <w:t>Presentación Junta Directiva (10-12 slides)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Nota:</w:t>
      </w:r>
      <w:r>
        <w:t xml:space="preserve"> Descarga .pptx desde link</w:t>
      </w:r>
    </w:p>
    <w:p>
      <w:pPr>
        <w:pStyle w:val="Heading2"/>
        <w:keepNext/>
        <w:keepLines/>
      </w:pPr>
      <w:r>
        <w:rPr>
          <w:color w:val="0066CC"/>
        </w:rPr>
        <w:t>SLIDE 1: PORTADA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┌───────────────────────────────────────────────────────┐</w:t>
        <w:br/>
        <w:t>│                                                       │</w:t>
        <w:br/>
        <w:t>│     EVALUACIÓN INTEGRAL CIBERSEGURIDAD               │</w:t>
        <w:br/>
        <w:t>│          Cyber Risk Management 2024-2025             │</w:t>
        <w:br/>
        <w:t>│                                                       │</w:t>
        <w:br/>
        <w:t>│     Índice Global Madurez (IGM): 2.38                │</w:t>
        <w:br/>
        <w:t>│     Nivel: FORMATIVO                                 │</w:t>
        <w:br/>
        <w:t>│                                                       │</w:t>
        <w:br/>
        <w:t>│     [Logo Organización]                              │</w:t>
        <w:br/>
        <w:t>│                                                       │</w:t>
        <w:br/>
        <w:t>│     Fecha: Enero 2026                                │</w:t>
        <w:br/>
        <w:t>│     Clasificación: Confidencial - Junta              │</w:t>
        <w:br/>
        <w:t>│                                                       │</w:t>
        <w:br/>
        <w:t>└───────────────────────────────────────────────────────┘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SLIDE 2: EXECUTIVE SUMMARY (1 PÁGINA)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SITUACIÓN ACTUAL</w:t>
        <w:br/>
        <w:br/>
        <w:t>✓ Fortalezas:</w:t>
        <w:br/>
        <w:t xml:space="preserve">  • Vulnerabilidades management (3.2/4.0) — Scanning continuo</w:t>
        <w:br/>
        <w:t xml:space="preserve">  • Gobernanza (3.5/4.0) — RAS documentado; CISO designado</w:t>
        <w:br/>
        <w:t xml:space="preserve">  • Compliance GDPR (85%) — Mayormente conforme</w:t>
        <w:br/>
        <w:br/>
        <w:t>✗ Debilidades Críticas:</w:t>
        <w:br/>
        <w:t xml:space="preserve">  • Cuantificación FAIR (2.0/4.0) — ROI decisions ad-hoc</w:t>
        <w:br/>
        <w:t xml:space="preserve">  • Automatización (1.8/4.0) — Manual heavy; scaling problem</w:t>
        <w:br/>
        <w:t xml:space="preserve">  • Supply Chain Risk (1.5/4.0) — Terceros no auditados</w:t>
        <w:br/>
        <w:br/>
        <w:t>📊 GAPS MÁS CRÍTICOS:</w:t>
        <w:br/>
        <w:t xml:space="preserve">  1. Cuantificación monetaria riesgos (-2.0)</w:t>
        <w:br/>
        <w:t xml:space="preserve">  2. Supply chain governance (-2.0)</w:t>
        <w:br/>
        <w:t xml:space="preserve">  3. Automatización + Policy-as-Code (-1.4)</w:t>
        <w:br/>
        <w:br/>
        <w:t>💰 INVERSIÓN RECOMENDADA 12 meses: €500K</w:t>
        <w:br/>
        <w:t>📈 ROI Esperado: 580% (€3.4M avoided losses)</w:t>
        <w:br/>
      </w:r>
    </w:p>
    <w:p>
      <w:pPr>
        <w:pStyle w:val="Heading2"/>
        <w:keepNext/>
        <w:keepLines/>
      </w:pPr>
      <w:r>
        <w:rPr>
          <w:color w:val="0066CC"/>
        </w:rPr>
        <w:t>SLIDE 3: IGM RADAR CHART</w:t>
      </w:r>
    </w:p>
    <w:p>
      <w:pPr>
        <w:pStyle w:val="Heading3"/>
        <w:keepNext/>
        <w:keepLines/>
      </w:pPr>
      <w:r>
        <w:t>Visualización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  Gobernanza</w:t>
        <w:br/>
        <w:t xml:space="preserve">                        ▲</w:t>
        <w:br/>
        <w:t xml:space="preserve">                       3.5</w:t>
        <w:br/>
        <w:t xml:space="preserve">                       /│\</w:t>
        <w:br/>
        <w:t xml:space="preserve">                      / │ \</w:t>
        <w:br/>
        <w:t xml:space="preserve">         Automatización  │  Cuantificación</w:t>
        <w:br/>
        <w:t xml:space="preserve">              1.8        │      2.0</w:t>
        <w:br/>
        <w:t xml:space="preserve">           /             │             \</w:t>
        <w:br/>
        <w:t xml:space="preserve">          /              │              \</w:t>
        <w:br/>
        <w:t xml:space="preserve">         ◄───────────────●───────────────►</w:t>
        <w:br/>
        <w:t xml:space="preserve">              3.2                2.8</w:t>
        <w:br/>
        <w:t xml:space="preserve">         Vulnerabilidades   SOC/SIEM</w:t>
        <w:br/>
        <w:t xml:space="preserve">                 │         │</w:t>
        <w:br/>
        <w:t xml:space="preserve">                 │    │    │</w:t>
        <w:br/>
        <w:t xml:space="preserve">              2.5     2.2  2.4</w:t>
        <w:br/>
        <w:t xml:space="preserve">                 │    │    │</w:t>
        <w:br/>
        <w:t xml:space="preserve">                 ▼    ▼    ▼</w:t>
        <w:br/>
        <w:t xml:space="preserve">           Threat   Compliance Awareness</w:t>
        <w:br/>
        <w:t xml:space="preserve">           Modeling</w:t>
        <w:br/>
        <w:br/>
        <w:t>IGM = 2.38 (Formativo)</w:t>
        <w:br/>
        <w:t>Target 2027 = 3.8 (Estratégico)</w:t>
        <w:br/>
      </w:r>
    </w:p>
    <w:p>
      <w:pPr>
        <w:pStyle w:val="Heading2"/>
        <w:keepNext/>
        <w:keepLines/>
      </w:pPr>
      <w:r>
        <w:rPr>
          <w:color w:val="0066CC"/>
        </w:rPr>
        <w:t>SLIDE 4: BENCHMARK vs PEERS</w:t>
      </w:r>
    </w:p>
    <w:p>
      <w:pPr>
        <w:pStyle w:val="Heading3"/>
        <w:keepNext/>
        <w:keepLines/>
      </w:pPr>
      <w:r>
        <w:t>Gráfico Comparativo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España Median    Vuestra Org    EU Leader</w:t>
        <w:br/>
        <w:t>IGM              2.40            2.38           3.86</w:t>
        <w:br/>
        <w:br/>
        <w:t>Gobernanza       2.8             3.5            4.2</w:t>
        <w:br/>
        <w:t>Cuantificación   1.8             2.0            3.8</w:t>
        <w:br/>
        <w:t>Threat Model     2.2             2.5            3.5</w:t>
        <w:br/>
        <w:t>SOC/SIEM         2.6             3.0            4.0</w:t>
        <w:br/>
        <w:t>Vulnerabilidades 3.0             3.2            4.1</w:t>
        <w:br/>
        <w:t>Supply Chain     1.9             1.5            3.6</w:t>
        <w:br/>
        <w:t>Awareness        2.4             2.8            3.8</w:t>
        <w:br/>
        <w:t>Compliance       2.3             2.2            4.0</w:t>
        <w:br/>
        <w:t>Automatización   1.5             1.8            3.7</w:t>
        <w:br/>
        <w:br/>
        <w:t>CONCLUSIÓN: Sobre median España; bajo vs líderes UE</w:t>
        <w:br/>
        <w:t>BRECHA: -1.48 nivel (4-5 años para alcanzar Level 4 Estratégico)</w:t>
        <w:br/>
      </w:r>
    </w:p>
    <w:p>
      <w:pPr>
        <w:pStyle w:val="Heading2"/>
        <w:keepNext/>
        <w:keepLines/>
      </w:pPr>
      <w:r>
        <w:rPr>
          <w:color w:val="0066CC"/>
        </w:rPr>
        <w:t>SLIDE 5: GAPS PRIORIZACIÓN MATRIX</w:t>
      </w:r>
    </w:p>
    <w:p>
      <w:pPr>
        <w:pStyle w:val="Heading3"/>
        <w:keepNext/>
        <w:keepLines/>
      </w:pPr>
      <w:r>
        <w:t>Impacto × Esfuerzo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      ALTO IMPACTO</w:t>
        <w:br/>
        <w:t xml:space="preserve">                            △</w:t>
        <w:br/>
        <w:t xml:space="preserve">                    ▲       │       ▲</w:t>
        <w:br/>
        <w:t xml:space="preserve">                    │       │       │</w:t>
        <w:br/>
        <w:t>BAJO ESFUERZO ◄─────┼───────┼───────┼────► ALTO ESFUERZO</w:t>
        <w:br/>
        <w:t xml:space="preserve">                    │       │       │</w:t>
        <w:br/>
        <w:t xml:space="preserve">                    ▼       │       ▼</w:t>
        <w:br/>
        <w:t xml:space="preserve">                        BAJO IMPACTO</w:t>
        <w:br/>
        <w:br/>
        <w:t>CUADRANTE 1: QUICK WINS</w:t>
        <w:br/>
        <w:t xml:space="preserve">  ✓ FAIR Implementation</w:t>
        <w:br/>
        <w:t xml:space="preserve">  ✓ Awareness Training ROI</w:t>
        <w:br/>
        <w:t xml:space="preserve">  ✓ CVSS v4.0 Migration</w:t>
        <w:br/>
        <w:t xml:space="preserve">  Esfuerzo: 4-8 semanas | Budget: €100K | ROI: 400-500%</w:t>
        <w:br/>
        <w:br/>
        <w:t>CUADRANTE 2: STRATEGIC PROGRAMS</w:t>
        <w:br/>
        <w:t xml:space="preserve">  ⚠ Supply Chain Audit Program</w:t>
        <w:br/>
        <w:t xml:space="preserve">  ⚠ SIEM + SOAR Deployment</w:t>
        <w:br/>
        <w:t xml:space="preserve">  ⚠ Policy-as-Code Implementation</w:t>
        <w:br/>
        <w:t xml:space="preserve">  Esfuerzo: 12-16 semanas | Budget: €350K | ROI: 300-600%</w:t>
        <w:br/>
        <w:br/>
        <w:t>CUADRANTE 3: AVOID (No hacer)</w:t>
        <w:br/>
        <w:t xml:space="preserve">  ❌ Legacy system upgrades (bajo impacto)</w:t>
        <w:br/>
        <w:t xml:space="preserve">  ❌ Redundant tool purchases</w:t>
        <w:br/>
        <w:br/>
        <w:t>CUADRANTE 4: NICE-TO-HAVE</w:t>
        <w:br/>
        <w:t xml:space="preserve">  📋 Advanced ML threat detection</w:t>
        <w:br/>
        <w:t xml:space="preserve">  📋 Quantum-safe crypto migration (future 2027+)</w:t>
        <w:br/>
      </w:r>
    </w:p>
    <w:p>
      <w:pPr>
        <w:pStyle w:val="Heading2"/>
        <w:keepNext/>
        <w:keepLines/>
      </w:pPr>
      <w:r>
        <w:rPr>
          <w:color w:val="0066CC"/>
        </w:rPr>
        <w:t>SLIDE 6: ROADMAP 12-24 MESES</w:t>
      </w:r>
    </w:p>
    <w:p>
      <w:pPr>
        <w:pStyle w:val="Heading3"/>
        <w:keepNext/>
        <w:keepLines/>
      </w:pPr>
      <w:r>
        <w:t>Timeline Visual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Q2 2026       Q3 2026       Q4 2026       Q1 2027</w:t>
        <w:br/>
        <w:t xml:space="preserve">              ├──────┼──────┼──────┼──────┼──────┼──────┤</w:t>
        <w:br/>
        <w:br/>
        <w:t>FAIR Impl     ├─────────┤</w:t>
        <w:br/>
        <w:t xml:space="preserve">              €50K | Owner: CISO | KPI: 90% ALE coverage</w:t>
        <w:br/>
        <w:br/>
        <w:t>RAS/Tol Docs  │  ├───┤</w:t>
        <w:br/>
        <w:t xml:space="preserve">              │  €10K | Owner: Risk Officer | Board approval</w:t>
        <w:br/>
        <w:br/>
        <w:t>SIEM+SOAR     │        ├──────────────────┤</w:t>
        <w:br/>
        <w:t xml:space="preserve">              │        €300K | Owner: IT Director | MTTD &lt;2h</w:t>
        <w:br/>
        <w:br/>
        <w:t>PASTA Model   │        ├──────────────────┤</w:t>
        <w:br/>
        <w:t xml:space="preserve">              │        €80K | Owner: Security | Top 10 apps</w:t>
        <w:br/>
        <w:br/>
        <w:t>NIS2 Assess   │              ├────┤</w:t>
        <w:br/>
        <w:t xml:space="preserve">              │              €60K | Owner: Compliance | Gap doc</w:t>
        <w:br/>
        <w:br/>
        <w:t>Phishing Prog │        ├──────┤</w:t>
        <w:br/>
        <w:t xml:space="preserve">              │        €30K | Owner: Awareness | Report rate 20%+</w:t>
        <w:br/>
        <w:br/>
        <w:t>Policy-Code   │                    ├──────────┤</w:t>
        <w:br/>
        <w:t xml:space="preserve">              │                    €100K | Owner: DevSecOps | 80% automated</w:t>
        <w:br/>
        <w:br/>
        <w:t>TOTAL BUDGET: €630K | Timeline: 12 months | Aggregate ROI: 580%</w:t>
        <w:br/>
      </w:r>
    </w:p>
    <w:p>
      <w:pPr>
        <w:pStyle w:val="Heading2"/>
        <w:keepNext/>
        <w:keepLines/>
      </w:pPr>
      <w:r>
        <w:rPr>
          <w:color w:val="0066CC"/>
        </w:rPr>
        <w:t>SLIDE 7: COMPLIANCE REGULATORY GAP</w:t>
      </w:r>
    </w:p>
    <w:p>
      <w:pPr>
        <w:pStyle w:val="Heading3"/>
        <w:keepNext/>
        <w:keepLines/>
      </w:pPr>
      <w:r>
        <w:t>Status por Regulación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GDPR (vigente mayo 2018)</w:t>
        <w:br/>
        <w:t>├─ Status: ✓ 85% Compliant</w:t>
        <w:br/>
        <w:t>├─ Gap: Art 32 (security measures), Art 33 (breach notify)</w:t>
        <w:br/>
        <w:t>├─ Risk: Medium</w:t>
        <w:br/>
        <w:t>└─ Timeline: Q2 2026 → 95%+</w:t>
        <w:br/>
        <w:br/>
        <w:t>DORA (vigente enero 2025 — SECTOR FINANCIERO ONLY)</w:t>
        <w:br/>
        <w:t>├─ Aplicable: [SI/NO] → Si financiero: CRÍTICO</w:t>
        <w:br/>
        <w:t>├─ Status: ⚠ 70% Compliant</w:t>
        <w:br/>
        <w:t>├─ Gap: RTO/RPO &lt;4h no validado; third-party audit incomplete</w:t>
        <w:br/>
        <w:t>├─ Risk: VERY HIGH (sanciones €10M si financiero)</w:t>
        <w:br/>
        <w:t>└─ Timeline: Q1 2026 → 100% obligatorio</w:t>
        <w:br/>
        <w:br/>
        <w:t>NIS2 (españa Q1 2026 transposición — TODOS SECTORES)</w:t>
        <w:br/>
        <w:t>├─ Aplicable: [Sector crítico?] → Si sí: CRÍTICO</w:t>
        <w:br/>
        <w:t>├─ Status: ⚠ 60% Preparado (anticipatory compliance)</w:t>
        <w:br/>
        <w:t>├─ Gap: Incidente 24h reporting; supply chain audit</w:t>
        <w:br/>
        <w:t>├─ Risk: VERY HIGH (sanciones €10M essential, €7M important)</w:t>
        <w:br/>
        <w:t>└─ Timeline: Q1-Q2 2026 → Priority #1</w:t>
        <w:br/>
      </w:r>
    </w:p>
    <w:p>
      <w:pPr>
        <w:pStyle w:val="Heading2"/>
        <w:keepNext/>
        <w:keepLines/>
      </w:pPr>
      <w:r>
        <w:rPr>
          <w:color w:val="0066CC"/>
        </w:rPr>
        <w:t>SLIDE 8: FINANCIAL IMPACT &amp; ROI</w:t>
      </w:r>
    </w:p>
    <w:p>
      <w:pPr>
        <w:pStyle w:val="Heading3"/>
        <w:keepNext/>
        <w:keepLines/>
      </w:pPr>
      <w:r>
        <w:t>ALE Current vs Post-Implementation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CURRENT STATE (Baseline 2024)</w:t>
        <w:br/>
        <w:t>┌──────────────────────────────────────┐</w:t>
        <w:br/>
        <w:t>│ Annual Loss Expectancy (ALE):  €8.2M │</w:t>
        <w:br/>
        <w:t>│                                      │</w:t>
        <w:br/>
        <w:t>│ Top Risks:                           │</w:t>
        <w:br/>
        <w:t>│   1. Ransomware: €3.5M              │</w:t>
        <w:br/>
        <w:t>│   2. Data Breach: €2.2M             │</w:t>
        <w:br/>
        <w:t>│   3. Business Disruption: €1.2M     │</w:t>
        <w:br/>
        <w:t>│   4. Phishing/Social Eng: €0.9M     │</w:t>
        <w:br/>
        <w:t>│   5. Supply Chain: €0.4M            │</w:t>
        <w:br/>
        <w:t>└──────────────────────────────────────┘</w:t>
        <w:br/>
        <w:br/>
        <w:t>POST-IMPLEMENTATION (2027)</w:t>
        <w:br/>
        <w:t>┌──────────────────────────────────────┐</w:t>
        <w:br/>
        <w:t>│ Annual Loss Expectancy:        €4.8M │</w:t>
        <w:br/>
        <w:t>│ ALE Reduction:                 €3.4M │</w:t>
        <w:br/>
        <w:t>│                                      │</w:t>
        <w:br/>
        <w:t>│ Risk Mitigation:                     │</w:t>
        <w:br/>
        <w:t>│   Ransomware (SIEM): -60% → €1.4M  │</w:t>
        <w:br/>
        <w:t>│   Data Breach (FAIR): -45% → €1.2M │</w:t>
        <w:br/>
        <w:t>│   Disruption (RTO&lt;4h): -65% → €0.4M│</w:t>
        <w:br/>
        <w:t>│   Phishing (Train): -70% → €0.27M  │</w:t>
        <w:br/>
        <w:t>│   Supply Chain (Audit): -80% → €0.08M</w:t>
        <w:br/>
        <w:t>└──────────────────────────────────────┘</w:t>
        <w:br/>
        <w:br/>
        <w:t>INVERSIÓN: €630K</w:t>
        <w:br/>
        <w:t>AHORRO ANUAL: €3.4M</w:t>
        <w:br/>
        <w:t>ROI: 540% | PAYBACK: 2.2 meses | 5-AÑO NPV: €15.7M</w:t>
        <w:br/>
      </w:r>
    </w:p>
    <w:p>
      <w:pPr>
        <w:pStyle w:val="Heading2"/>
        <w:keepNext/>
        <w:keepLines/>
      </w:pPr>
      <w:r>
        <w:rPr>
          <w:color w:val="0066CC"/>
        </w:rPr>
        <w:t>SLIDE 9: GOVERNANCE DECISIONS REQUIRED</w:t>
      </w:r>
    </w:p>
    <w:p>
      <w:pPr>
        <w:pStyle w:val="Heading3"/>
        <w:keepNext/>
        <w:keepLines/>
      </w:pPr>
      <w:r>
        <w:t>Acciones Junta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DECISIÓN 1: Aprobación Roadmap</w:t>
        <w:br/>
        <w:t>├─ Presupuesto: €630K (aprobación formal)</w:t>
        <w:br/>
        <w:t>├─ Timeline: 12 meses</w:t>
        <w:br/>
        <w:t>├─ Owner: CFO (presupuesto); CISO (ejecución)</w:t>
        <w:br/>
        <w:t>└─ Status: [ ] Aprobado [ ] Condicionado [ ] Rechazado</w:t>
        <w:br/>
        <w:br/>
        <w:t>DECISIÓN 2: Risk Appetite Statement</w:t>
        <w:br/>
        <w:t>├─ Documento: Formal RAS + Risk Tolerance umbrales</w:t>
        <w:br/>
        <w:t>├─ Approval: Junta firmando</w:t>
        <w:br/>
        <w:t>├─ Revisión: Anual mandatorio</w:t>
        <w:br/>
        <w:t>└─ Owner: Risk Officer</w:t>
        <w:br/>
        <w:br/>
        <w:t>DECISIÓN 3: CISO Accountability</w:t>
        <w:br/>
        <w:t>├─ Reporte directo CEO/Presidente</w:t>
        <w:br/>
        <w:t>├─ Compensation: TBD (ej: 20% tied to IGM improvement)</w:t>
        <w:br/>
        <w:t>├─ Authority: Presupuesto + hiring authority</w:t>
        <w:br/>
        <w:t>└─ Status: [Formalizar]</w:t>
        <w:br/>
        <w:br/>
        <w:t>DECISIÓN 4: Terceros Governance</w:t>
        <w:br/>
        <w:t>├─ Auditoría anual proveedores críticos</w:t>
        <w:br/>
        <w:t>├─ Contractual security mandates</w:t>
        <w:br/>
        <w:t>├─ SBOM requirement para new contracts</w:t>
        <w:br/>
        <w:t>└─ Owner: Procurement + CISO</w:t>
        <w:br/>
      </w:r>
    </w:p>
    <w:p>
      <w:pPr>
        <w:pStyle w:val="Heading2"/>
        <w:keepNext/>
        <w:keepLines/>
      </w:pPr>
      <w:r>
        <w:rPr>
          <w:color w:val="0066CC"/>
        </w:rPr>
        <w:t>SLIDE 10: RISKS &amp; MITIGATIONS</w:t>
      </w:r>
    </w:p>
    <w:p>
      <w:pPr>
        <w:pStyle w:val="Heading3"/>
        <w:keepNext/>
        <w:keepLines/>
      </w:pPr>
      <w:r>
        <w:t>Riesgos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1: Project Slippage</w:t>
        <w:br/>
        <w:t>├─ Probabilidad: Medium (40%)</w:t>
        <w:br/>
        <w:t>├─ Impacto: €50-100K costo extra</w:t>
        <w:br/>
        <w:t>├─ Mitigación: Project management office (PMO); weekly tracking</w:t>
        <w:br/>
        <w:t>└─ Owner: CISO</w:t>
        <w:br/>
        <w:br/>
        <w:t>RIESGO 2: Talent Shortage</w:t>
        <w:br/>
        <w:t>├─ Probabilidad: High (60%) — FAIR consultants caros</w:t>
        <w:br/>
        <w:t>├─ Impacto: Presupuesto +20%</w:t>
        <w:br/>
        <w:t>├─ Mitigación: Hiring 1-2 junior analistas; training propios</w:t>
        <w:br/>
        <w:t>└─ Owner: HR + CISO</w:t>
        <w:br/>
        <w:br/>
        <w:t>RIESGO 3: Technology Integration</w:t>
        <w:br/>
        <w:t>├─ Probabilidad: Medium (35%) — SIEM + legacy systems</w:t>
        <w:br/>
        <w:t>├─ Impacto: MTTD delays</w:t>
        <w:br/>
        <w:t>├─ Mitigación: POC phase (4 semanas) antes full deployment</w:t>
        <w:br/>
        <w:t>└─ Owner: IT Director</w:t>
        <w:br/>
        <w:br/>
        <w:t>RIESGO 4: Regulatory Change</w:t>
        <w:br/>
        <w:t>├─ Probabilidad: Medium (50%) — NIS2 aún en transposición</w:t>
        <w:br/>
        <w:t>├─ Impacto: Requisitos adicionales</w:t>
        <w:br/>
        <w:t>├─ Mitigación: Flexibility en roadmap (30% buffer)</w:t>
        <w:br/>
        <w:t>└─ Owner: Compliance Officer</w:t>
        <w:br/>
      </w:r>
    </w:p>
    <w:p>
      <w:pPr>
        <w:pStyle w:val="Heading2"/>
        <w:keepNext/>
        <w:keepLines/>
      </w:pPr>
      <w:r>
        <w:rPr>
          <w:color w:val="0066CC"/>
        </w:rPr>
        <w:t>SLIDE 11: NEXT STEPS &amp; TIMELINE INMEDIATO</w:t>
      </w:r>
    </w:p>
    <w:p>
      <w:pPr>
        <w:pStyle w:val="Heading3"/>
        <w:keepNext/>
        <w:keepLines/>
      </w:pPr>
      <w:r>
        <w:t>Acciones 30-90 Días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PRÓXIMOS 30 DÍAS (Febrero 2026)</w:t>
        <w:br/>
        <w:t>✓ Junta aprueba roadmap + presupuesto</w:t>
        <w:br/>
        <w:t>✓ Designar project leads por cada iniciativa</w:t>
        <w:br/>
        <w:t>✓ Publicar RFP para FAIR consulting</w:t>
        <w:br/>
        <w:t>✓ Iniciar vendor selection SIEM/SOAR</w:t>
        <w:br/>
        <w:br/>
        <w:t>PRÓXIMOS 60 DÍAS (Marzo 2026)</w:t>
        <w:br/>
        <w:t>✓ Contratar consultores FAIR</w:t>
        <w:br/>
        <w:t>✓ Kick-off FAIR assessment (2 semanas)</w:t>
        <w:br/>
        <w:t>✓ Publicar RFP SIEM/SOAR</w:t>
        <w:br/>
        <w:t>✓ Vendor selection SIEM</w:t>
        <w:br/>
        <w:br/>
        <w:t>PRÓXIMOS 90 DÍAS (Abril 2026)</w:t>
        <w:br/>
        <w:t>✓ FAIR assessment completo + ALE models</w:t>
        <w:br/>
        <w:t>✓ First FAIR-based control decisions</w:t>
        <w:br/>
        <w:t>✓ SIEM POC começar</w:t>
        <w:br/>
        <w:t>✓ Training SIEM team comenzar</w:t>
        <w:br/>
        <w:t>✓ Policy-as-Code team formar</w:t>
        <w:br/>
      </w:r>
    </w:p>
    <w:p>
      <w:pPr>
        <w:pStyle w:val="Heading2"/>
        <w:keepNext/>
        <w:keepLines/>
      </w:pPr>
      <w:r>
        <w:rPr>
          <w:color w:val="0066CC"/>
        </w:rPr>
        <w:t>SLIDE 12: CLOSING &amp; Q&amp;A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┌───────────────────────────────────────────────────────┐</w:t>
        <w:br/>
        <w:t>│                                                       │</w:t>
        <w:br/>
        <w:t>│  RESUMEN EJECUTIVO (3-liner)                         │</w:t>
        <w:br/>
        <w:t>│                                                       │</w:t>
        <w:br/>
        <w:t>│  1. Madurez CRM actual: 2.38/4.0 (Formativo)        │</w:t>
        <w:br/>
        <w:t>│  2. Gaps críticos: Cuantificación, Supply Chain, OT │</w:t>
        <w:br/>
        <w:t>│  3. Inversión + ROI: €630K → €3.4M/año (540% ROI)  │</w:t>
        <w:br/>
        <w:t>│                                                       │</w:t>
        <w:br/>
        <w:t>│  ─────────────────────────────────────────────────  │</w:t>
        <w:br/>
        <w:t>│                                                       │</w:t>
        <w:br/>
        <w:t>│  RECOMENDACIÓN                                       │</w:t>
        <w:br/>
        <w:t>│                                                       │</w:t>
        <w:br/>
        <w:t>│  Aprobar roadmap 12-24 meses; comenzar Q2 2026     │</w:t>
        <w:br/>
        <w:t>│  con QUICK WINS (FAIR, Awareness) para demostrar   │</w:t>
        <w:br/>
        <w:t>│  valor antes STRATEGIC programs (SIEM, Policy-Code) │</w:t>
        <w:br/>
        <w:t>│                                                       │</w:t>
        <w:br/>
        <w:t>│  ─────────────────────────────────────────────────  │</w:t>
        <w:br/>
        <w:t>│                                                       │</w:t>
        <w:br/>
        <w:t>│  PREGUNTAS &amp; DISCUSIÓN                              │</w:t>
        <w:br/>
        <w:t>│                                                       │</w:t>
        <w:br/>
        <w:t>└───────────────────────────────────────────────────────┘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DESCARGAR POWERPOINT</w:t>
      </w:r>
    </w:p>
    <w:p>
      <w:r>
        <w:t xml:space="preserve">Archivo: </w:t>
      </w:r>
      <w:r>
        <w:rPr>
          <w:b/>
        </w:rPr>
        <w:t>CRM_Reporte_Ejecutivo.pptx</w:t>
      </w:r>
      <w:r>
        <w:t xml:space="preserve"> (link en README)</w:t>
      </w:r>
    </w:p>
    <w:p>
      <w:pPr>
        <w:pStyle w:val="ListBullet"/>
        <w:keepLines w:val="1"/>
        <w:keepNext w:val="1"/>
        <w:widowControl w:val="1"/>
      </w:pPr>
      <w:r>
        <w:t>Slides 1-12 con templates pre-formados</w:t>
      </w:r>
    </w:p>
    <w:p>
      <w:pPr>
        <w:pStyle w:val="ListBullet"/>
        <w:keepLines w:val="1"/>
        <w:keepNext w:val="1"/>
        <w:widowControl w:val="1"/>
      </w:pPr>
      <w:r>
        <w:t>Gráficos interactivos (radar, timeline, benchmarks)</w:t>
      </w:r>
    </w:p>
    <w:p>
      <w:pPr>
        <w:pStyle w:val="ListBullet"/>
        <w:keepLines w:val="1"/>
        <w:keepNext w:val="1"/>
        <w:widowControl w:val="1"/>
      </w:pPr>
      <w:r>
        <w:t>Colores brand-aligned (personalizable)</w:t>
      </w:r>
    </w:p>
    <w:p>
      <w:pPr>
        <w:pStyle w:val="ListBullet"/>
        <w:keepLines w:val="1"/>
        <w:widowControl w:val="1"/>
      </w:pPr>
      <w:r>
        <w:t>Notas speaker por slide</w:t>
      </w:r>
    </w:p>
    <w:p>
      <w:r>
        <w:rPr>
          <w:i/>
        </w:rPr>
        <w:t>Fin Template PowerPoint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