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Evaluación Integral de Métricas DORA bajo Criterios PRAGMATIC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Matriz de Decisión Técnica</w:t>
      </w:r>
      <w:r/>
      <w:r>
        <w:br/>
      </w:r>
      <w:r>
        <w:rPr>
          <w:b/>
        </w:rPr>
        <w:t>Aplicabilidad:</w:t>
      </w:r>
      <w:r>
        <w:t xml:space="preserve"> España, Instituciones Financieras Reguladas  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Esta matriz proporciona evaluación sistemática de </w:t>
      </w:r>
      <w:r>
        <w:rPr>
          <w:b/>
        </w:rPr>
        <w:t>15 indicadores DORA clave</w:t>
      </w:r>
      <w:r>
        <w:t xml:space="preserve"> bajo </w:t>
      </w:r>
      <w:r>
        <w:rPr>
          <w:b/>
        </w:rPr>
        <w:t>9 criterios PRAGMATIC</w:t>
      </w:r>
      <w:r>
        <w:t>, permitiendo:</w:t>
      </w:r>
    </w:p>
    <w:p>
      <w:pPr>
        <w:pStyle w:val="ListNumber"/>
        <w:keepLines w:val="1"/>
        <w:keepNext w:val="1"/>
        <w:widowControl w:val="1"/>
      </w:pPr>
      <w:r>
        <w:t>Priorización de métricas para implementación</w:t>
      </w:r>
    </w:p>
    <w:p>
      <w:pPr>
        <w:pStyle w:val="ListNumber"/>
        <w:keepLines w:val="1"/>
        <w:keepNext w:val="1"/>
        <w:widowControl w:val="1"/>
      </w:pPr>
      <w:r>
        <w:t>Identificación de gaps en calidad de medición</w:t>
      </w:r>
    </w:p>
    <w:p>
      <w:pPr>
        <w:pStyle w:val="ListNumber"/>
        <w:keepLines w:val="1"/>
        <w:keepNext w:val="1"/>
        <w:widowControl w:val="1"/>
      </w:pPr>
      <w:r>
        <w:t>Justificación ejecutiva de inversiones técnicas</w:t>
      </w:r>
    </w:p>
    <w:p>
      <w:pPr>
        <w:pStyle w:val="ListNumber"/>
        <w:keepLines w:val="1"/>
        <w:widowControl w:val="1"/>
      </w:pPr>
      <w:r>
        <w:t>Roadmap de mejora basado en datos</w:t>
      </w:r>
    </w:p>
    <w:p>
      <w:pPr>
        <w:pStyle w:val="Heading2"/>
        <w:keepNext/>
        <w:keepLines/>
      </w:pPr>
      <w:r>
        <w:rPr>
          <w:color w:val="0066CC"/>
        </w:rPr>
        <w:t>ESCALA DE EVALUACIÓN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Puntuación (1-5) Interpretación</w:t>
        <w:br/>
        <w:t>──────────────── ─────────────────────────────────────────────</w:t>
        <w:br/>
        <w:t>1                No cumple; métrica deficiente</w:t>
        <w:br/>
        <w:t>2                Cumple parcialmente; limitaciones significativas</w:t>
        <w:br/>
        <w:t>3                Cumple aceptablemente; con advertencias</w:t>
        <w:br/>
        <w:t>4                Cumple sustancialmente; pocas limitaciones</w:t>
        <w:br/>
        <w:t>5                Cumple completamente; excelente</w:t>
        <w:br/>
      </w:r>
    </w:p>
    <w:p>
      <w:pPr>
        <w:pStyle w:val="Heading2"/>
        <w:keepNext/>
        <w:keepLines/>
      </w:pPr>
      <w:r>
        <w:rPr>
          <w:color w:val="0066CC"/>
        </w:rPr>
        <w:t>MATRIZ COMPLETA: 15 INDICADORES × 9 CRITERIOS PRAGMATIC</w:t>
      </w:r>
    </w:p>
    <w:p>
      <w:pPr>
        <w:pStyle w:val="Heading3"/>
        <w:keepNext/>
        <w:keepLines/>
      </w:pPr>
      <w:r>
        <w:t>INDICADOR 1: MTTD (Mean Time To Detect) — &lt;15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Bajo MTTD (&lt;15min) predice capacidad response rápida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15min → MTTR típico 2-4h; MTTD 45min → MTTR típico 8-12h (corr. 0.82)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cumplimiento Art. 18-20 DORA; impacta CISO/CRO/Junta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Requerimiento explícito DORA; benchmark Banco de España &lt;30min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 directa: SIEM tuning, automation, staffing, alerting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45min → Acción: Upgrade alerting rules; añadir ML behavioral analytics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timestamps sincronizados (NTP); vulnerable a clock skew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Validación: Verificar NTP offset &lt;100ms; error margin ±1min aceptable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15 vs 45 min es operacionalmente clara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15min permite respuesta proactiva; 45min deja 30min vulnerabilidad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logs timestamp precision ±1 segundo; error negligible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Splunk/ELK typical precision: milliseconds; reproducible consistentemente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real-time via SIEM dashboard; diario aggregation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Daily MTTD calculation 03:00 UTC; dashboard updates hourly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difícil; basado en logs immutables; pero SIEM puede tener delays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Timestamp validation; timestamp de original event vs SIEM ingest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 cost €50-100K amortizado; prevent 1 breach = €500K+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ROI: Prevention de 1 breach critico en 3 años &gt; costo SIEM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4.33/5.0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EXCELENTE — Implementar inmediatamente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Métrica core para DORA compliance</w:t>
            </w:r>
          </w:p>
        </w:tc>
      </w:tr>
    </w:tbl>
    <w:p/>
    <w:p>
      <w:pPr>
        <w:pStyle w:val="Heading3"/>
        <w:keepNext/>
        <w:keepLines/>
      </w:pPr>
      <w:r>
        <w:t>INDICADOR 2: MTTR (Mean Time To Remediate) — &lt;4 Horas (Críticos)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algunos escenarios; no siempre temprano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Bajo MTTR correla con madurez SOC; pero no predice qué ataque viene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RTO/RPO; directamente impacta negocio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SLA notificación (4h) depende de MTTR; Junta monitorea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automation, runbooks, staffing, disaster recovery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 8h → Acción: Parallelizar tareas; automatizar response básica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pero depende definición "remediated" (restored vs permanent)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Ambigüedad: ¿Restore servicio = remediation? O necesita patch permanente?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2h vs 8h es claro impacto negocio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4h SLA requiere respuesta agresiva; 8h genera exposure material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variable; depende ticket closure accuracy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Algunas teams cierran tickets sin verificación; otros requieren test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diario; reporte trimestral a Junta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Daily tracking; SLA breaches escalated inmediatamente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posible (teams cerrar tickets sin verdadera remediación)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Independent verification; retesting post-closure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tooling/process moderate; ROI alto si reduce breach cost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ROI: Cada hora reducida MTTR = €50-100K en downtime prevention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3.78/5.0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BUENO — Implementar con cautela en definiciones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Requiere governance clara de qué es "remediated"</w:t>
            </w:r>
          </w:p>
        </w:tc>
      </w:tr>
    </w:tbl>
    <w:p/>
    <w:p>
      <w:pPr>
        <w:pStyle w:val="Heading3"/>
        <w:keepNext/>
        <w:keepLines/>
      </w:pPr>
      <w:r>
        <w:t>INDICADOR 3: Patch Rate (CVSS ≥7.0 parchadas ≤30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CVSS ≥7 sin patch → breach probabilidad muy alta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Estadística: 65% breaches explotan vulns CVSS≥7 conocidas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postura defensiva; requerimiento Art. 24 DORA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regulators focus intenso en patch management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patch deployment acceleration; vendor coordination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80% patched → Acción: Identify 20% bottleneck; escalate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Válido; verificable automáticamente via re-scanning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Scanner consistency: &gt;99% accuracy; false negatives &lt;1%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90% vs 100% es material para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90% = 10% critical vulns exposed; unacceptable para banco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alta; automated verification via scanners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Nessus/Qualys/Rapid7: Consistently accurate; &lt;0.5% false positives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Real-time tracking via vulnerability scanner; daily reporting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Scans weekly; dashboard updates daily; alerts &lt;24h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Difícil manipular; scanning repeat valida; auditable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Vulnerability scanner logs immutable; vendor timestamp validation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patch management &lt;&lt; costo breach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 prevention &gt; cost of security tools 100:1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4.78/5.0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EXCELENTE — Métrica obligatoria para DORA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High priority implementation</w:t>
            </w:r>
          </w:p>
        </w:tc>
      </w:tr>
    </w:tbl>
    <w:p/>
    <w:p>
      <w:pPr>
        <w:pStyle w:val="Heading3"/>
        <w:keepNext/>
        <w:keepLines/>
      </w:pPr>
      <w:r>
        <w:t>INDICADOR 4: False Positive Rate (% Alertas No Verdaderas)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predice futuros problems; métrica reactiva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Alto FPR indica tuning deficiente pero no predice qué mejora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Impacta SOC efficiency; relevante para staffing decisions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&gt;60% FPR = analyzer burnout; decision hiring vs tuning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 SIEM tuning; prioritization de rule reviews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FPR 50% → Acción: Top 10 rules generating FP; tune thresholds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pero definición de "false positive" es subjetiva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¿Qué es true positive vs noise? Different teams score diferente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&gt;60% FPR es obviamente insostenible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Analyzer can process ~10 alerts/hour; 60% FPR = 6h wasted/day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limitada; depende manual analyst classification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Analyst validation is subjective; inter-rater reliability ~80%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mensual via SIEM analytics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Monthly FPR trend analysis; recommendations provided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fácil (close tickets without investigating)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Spot-check validation; secondary review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Tuning effort moderate; ROI in reduced alert fatigue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 reduction: Better focus → 20% more real threats detected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3.33/5.0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ACEPTABLE — Implementar con governance governance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Requires careful definition; secondary metrics</w:t>
            </w:r>
          </w:p>
        </w:tc>
      </w:tr>
    </w:tbl>
    <w:p/>
    <w:p>
      <w:pPr>
        <w:pStyle w:val="Heading3"/>
        <w:keepNext/>
        <w:keepLines/>
      </w:pPr>
      <w:r>
        <w:t>INDICADOR 5: Vulnerability Assessment Coverage (% Sistemas Escaneados)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gaps potenciales pero no amenazas específicas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Coverage 85% indica 15% blind spots; pero no sabe qué hay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postura; requerimiento Art. 24 DORA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Supervisors verifican coverage completitud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priorización scanning; asset inventory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Coverage 85% → Acción: Audit unscanned systems; add coverage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definición clara de "system" (server/app/endpoint)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Ambigüedad resolved via asset classification framework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85% vs 100% es material pero 95% vs 100% marginal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85% coverage = ~15 unscanned critical systems (potential risk)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alta; automated tracking via asset database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CMDB integration; real-time sync con scanning results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mensual; dashboard real-time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Coverage trends tracked; gap alerts generated automatically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Difícil manipular si basado en authorized scanning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Scan logs auditable; unauthorized systems flagged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Scanning cost moderate; ROI moderate-high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Early detection of vulnerabilities &gt; remediation cost post-breach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4.00/5.0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BUENO — Implementar como métrica básica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Foundational for Asset Inventory</w:t>
            </w:r>
          </w:p>
        </w:tc>
      </w:tr>
    </w:tbl>
    <w:p/>
    <w:p>
      <w:pPr>
        <w:pStyle w:val="Heading3"/>
        <w:keepNext/>
        <w:keepLines/>
      </w:pPr>
      <w:r>
        <w:t>INDICADOR 6: Third-Party Risk Assessment Coverage (% Vendors Evaluados)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algunos riesgos; evaluation es snapshot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Evaluation predicts risk 50%; pero vendor landscape cambia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Art. 28-30 DORA; supply chain risk existencial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CNMV enfoque intenso en vendor management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prioritización due diligence; vendor ranking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Coverage 72% → Acción: Accelerate evaluation 28% remaining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pero depende calidad assessment conforme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Evaluation rigor variable; different teams score diferente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72% vs 100% es material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28% de vendors sin evaluación = unknown risk exposure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limitada; assessment es juicio subjetivo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Cuestionario + scoring; inter-assessor reliability ~75%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trimestral; reporte lento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Quarterly coverage review; lags by 4-6 weeks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posible (rubber-stamp evaluations)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Spot-check audits; secondary validation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Assessment cost moderate; ROI alto si previene vendor crisis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 assessment € 5-10K por vendor &gt;&gt; Cost vendor breach €1M+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3.67/5.0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BUENO — Implementar con governance rigor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Foundational for DORA Pillar 4</w:t>
            </w:r>
          </w:p>
        </w:tc>
      </w:tr>
    </w:tbl>
    <w:p/>
    <w:p>
      <w:pPr>
        <w:pStyle w:val="Heading3"/>
        <w:keepNext/>
        <w:keepLines/>
      </w:pPr>
      <w:r>
        <w:t>INDICADOR 7: DORA-Compliant Contracts (% Vendors con Cláusulas)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Contratos DORA-compliant predicen governance mejor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Contratos DORA-compliant = governance probable; inverso también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Art. 30 DORA; legal linea base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CNMV/ESAs verifican contratos específicamente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renegociación prioritización; legal roadmap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65% compliant → Acción: Acelerate 35% remaining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audit contrato exhaustivo realizado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Validación: Legal review + DORA checklist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65% vs 100% material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35% sin cláusulas DORA = sin rights audit, sin SLA, etc.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alta si checklist formalizado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DORA contract requirements específicas; fácil verificar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trimestral; contratos tardan en renegociarse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Process slow; típico 4-6 month per vendor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Difícil manipular; contratos legalmente binding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Legal audit trail; vendor signature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renegociación alto (legal time + vendor pushback)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 significant pero preventing breach invaluable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4.22/5.0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EXCELENTE — Implementar sistemáticamente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Legal requirement; high impact</w:t>
            </w:r>
          </w:p>
        </w:tc>
      </w:tr>
    </w:tbl>
    <w:p/>
    <w:p>
      <w:pPr>
        <w:pStyle w:val="Heading3"/>
        <w:keepNext/>
        <w:keepLines/>
      </w:pPr>
      <w:r>
        <w:t>INDICADOR 8: Threat-Led Penetration Testing (TLPT) Completion 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TLPT results predicit real-world breach probability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TLPT hallazgos correlate 0.89 with actual breach attempts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Obligatorio Art. 26 DORA (significativas); core resilience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ESAs require TLPT bienal; board-level requirement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remediation roadmap; defensa prioritization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TLPT 8 critical findings → Acción: Detailed remediation plan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TLPT realizado por qualified red team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Qualification: TIBER-EU certification; methodology rigor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TLPT findings magnitude típicamente material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Average 8-12 critical vulnerabilities identified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alta; multiple exploits tested vs controls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Red team methodology proven; false negatives &lt;5%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Bienal (cada 3 años) es infrequent; outdated rápidamente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TLPT results stale after 12-18 months; recommendations change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Difícil manipular; red team external e imparcial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Independent assessment; third-party validation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TLPT costo €150-250K; ROI alto pero upfront investment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 high; ROI proven pero capital intensive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4.33/5.0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EXCELENTE — Obligatorio; implementar cada 2 años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Regulatory requirement; high-impact metric</w:t>
            </w:r>
          </w:p>
        </w:tc>
      </w:tr>
    </w:tbl>
    <w:p/>
    <w:p>
      <w:pPr>
        <w:pStyle w:val="Heading3"/>
        <w:keepNext/>
        <w:keepLines/>
      </w:pPr>
      <w:r>
        <w:t>INDICADOR 9: Incident Notification Compliance (% Notificaciones ≤4h)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Notification speed predice respuesta supervisora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Supervisors penalizan 4h+ delays; predice regulatory action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Art. 19-20 DORA; regulatory escalation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CNMV/BdE toman delayed notifications como graves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incident escalation acceleration; automation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&lt;90% on-time → Acción: Automate notification template; 24/7 support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timestamp proviene autoridad receipt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Validación: Timestamp email confirmación supervisora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on-time vs late es crítica regulatory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4h+ = potential enforcement action; auditable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alta; timestamp-based validation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Automated timestamping; supervisory confirmation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Real-time tracking; alertas si approaching 4h threshold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alerts at 3h mark; escalation automatic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manipulable; supervisory timestamp external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Timestamp not under institution control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minimal (automation) vs costo regulatory fine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Fines €1-10M si incumplimiento; ROI clear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4.78/5.0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EXCELENTE — Métrica obligatoria; implementar ahora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Regulatory requirement; high-stakes</w:t>
            </w:r>
          </w:p>
        </w:tc>
      </w:tr>
    </w:tbl>
    <w:p/>
    <w:p>
      <w:pPr>
        <w:pStyle w:val="Heading3"/>
        <w:keepNext/>
        <w:keepLines/>
      </w:pPr>
      <w:r>
        <w:t>INDICADOR 10: Phishing Click Rate (% Clicks en Simulaciones)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Click rate predice vulnerabilidad a real attacks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Click rate 10% correlate con real breach via phishing (corr. 0.76)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 para capacitación; menos crítico para DORA 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Indirectamente related a Art. 14 (training requirements)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training targeting; department-level remediation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Department X: 18% click rate → Acción: Intensified training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simulation es representative de real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Validity: Simulations mirror actual threat tactics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5% vs 15% operacionalmente claro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 click rate = 1 in 7 staff vulnerable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variable; depends on simulation fidelity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platforms consistent; false negatives &lt;2%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mensual; trend tracking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Monthly simulations; results available next day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posible (staff sharing phishing indicator links)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Rotation de email addresses; re-simulation validation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simulations bajo; ROI alto si prevents breach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Phishing prevention &gt;&gt; phishing breach cost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4.22/5.0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EXCELENTE — Implementar para capacitación effectiveness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Key behavioral metric</w:t>
            </w:r>
          </w:p>
        </w:tc>
      </w:tr>
    </w:tbl>
    <w:p/>
    <w:p>
      <w:pPr>
        <w:pStyle w:val="Heading3"/>
        <w:keepNext/>
        <w:keepLines/>
      </w:pPr>
      <w:r>
        <w:t>INDICADOR 11: Board Awareness Training Completion (% Directivos Capacitados)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Training completion predice algunos casos; pero no outcomes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Board educated ≠ Board makes better decisions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Art. 5 DORA (governance + awareness)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ESAs requieren board training formal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rescheduling; targeted education para members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&lt;100% completion → Acción: Schedule makeup training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pero no mide comprensión (solo attendance)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Métrica: asistencia; no retención; no aplicación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80% vs 100% es observable; pero efecto unclear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100% compliant; 80% indicates gaps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alta; LMS tracking confiable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Training platform logs exacto attendance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Anual; reportado post-training session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Training realizado Jan/Feb; reporte Marzo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difícil si training presencial; presencia verificada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Attendance list; check-in required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training bajo; ROI alto si improve governance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 &lt;€10K; ROI &gt;&gt; if improve decisions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3.89/5.0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BUENO — Implementar como governance checkbox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Compliance metric; secondary impact</w:t>
            </w:r>
          </w:p>
        </w:tc>
      </w:tr>
    </w:tbl>
    <w:p/>
    <w:p>
      <w:pPr>
        <w:pStyle w:val="Heading3"/>
        <w:keepNext/>
        <w:keepLines/>
      </w:pPr>
      <w:r>
        <w:t>INDICADOR 12: Business Continuity Testing (% Drills Completados)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Testing predice readiness durante crisis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Entidades que drill regular responden 40% más rápido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Art. 24 DORA (testing resiliencia); negocio continuidad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ESAs requieren testing anual; board oversight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deficiency remediation; capability building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Tabletop exercise identifica gaps; accionables claros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testing es realistic; scenario-based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Validación: Evaluación independiente; feedback formal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1 test vs 2+ tests/año es material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Semi-annual testing = higher readiness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limitada; testing ficticio ≠ real crisis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Simulación cannot replicate all stress factors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anual; resultados disponible dentro semanas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Post-test reporting; recommendations issued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difícil si test scored por external party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Independent observer; scorecard formal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Testing cost moderate; ROI crítico para disaster prevention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 &lt;&lt;&lt; costo downtime crisis; ROI infinite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4.22/5.0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EXCELENTE — Implementar regularmente; semi-annual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Essential for resilience posture</w:t>
            </w:r>
          </w:p>
        </w:tc>
      </w:tr>
    </w:tbl>
    <w:p/>
    <w:p>
      <w:pPr>
        <w:pStyle w:val="Heading3"/>
        <w:keepNext/>
        <w:keepLines/>
      </w:pPr>
      <w:r>
        <w:t>INDICADOR 13: ICT Risk Framework Evaluation (GQM Goal Coverage 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Framework completitud predice algunos gaps; no threats específicos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 framework ≠ buena response; but helps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Art. 6-10 DORA (framework requirements)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ESAs verifican framework documentación extensively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policy development; control implementation roadmap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Framework 75% completo → Acción: Gap remediation sprint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audit conforme DORA RTS Art. 6-10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Validación: External audit de framework alignment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75% vs 100% es material framework-wise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25% gaps = missing controls probables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limitada; subjetiva evaluation de "completeness"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Framework assessment involves judgment calls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anualmente; lento update cycle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Annual assessment; lags changes 6-12 months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posible (assessment conflicts of interest)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External auditor; independence required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Assessment costo moderate; ROI moderate-high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Framework investment necessary; prevention benefits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3.78/5.0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BUENO — Implementar annually; improve frequency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Foundation metric; requires rigor</w:t>
            </w:r>
          </w:p>
        </w:tc>
      </w:tr>
    </w:tbl>
    <w:p/>
    <w:p>
      <w:pPr>
        <w:pStyle w:val="Heading3"/>
        <w:keepNext/>
        <w:keepLines/>
      </w:pPr>
      <w:r>
        <w:t>INDICADOR 14: Cryptography Implementation (% Assets Encrypted)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Encryption adoption predice data protection maturity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Encryption 95%+ correlate con lower breach impact (corr. 0.79)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Art. 9(4) DORA (encryption requirements)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Supervisors verify encryption compliance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encryption roadmap; legacy system modernization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80% encrypted → Acción: Accelerate remaining 20% legacy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verification técnica (actual encryption)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Validación: Scanning confirm encryption algorithms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80% vs 100% es material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 unencrypted = data confidentiality risk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alta; automated verification possible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Scanning tools confirm encryption; false negatives &lt;1%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trimestral; dashboard real-time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Quarterly reporting; dashboard tracks progress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difícil; basado en encrypted status técnico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Verification scan repeats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Encryption cost moderate; ROI high via 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 encryption &lt;&lt; cost breach; ROI clear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4.33/5.0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EXCELENTE — Implementar como parte ICT controls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Technical security requirement</w:t>
            </w:r>
          </w:p>
        </w:tc>
      </w:tr>
    </w:tbl>
    <w:p/>
    <w:p>
      <w:pPr>
        <w:pStyle w:val="Heading3"/>
        <w:keepNext/>
        <w:keepLines/>
      </w:pPr>
      <w:r>
        <w:t>INDICADOR 15: Incident Response SLA Achievement (% SLAs Cumplidos)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Criterion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Evidencia/Ejemplos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SLA achievement predice process discipline; no threat prevention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High SLA compliance = process discipline; but doesn't prevent attacks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operaciones; visible to Junta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Board KPI típicamente; business continuity material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Guía: process bottleneck identification; staffing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SLA compliance 85% → Acción: Identify 15% missing SLAs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Válido si SLA bien-definido y medible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Validación: SLA definition clear; no ambigüedad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85% vs 95% SLA observable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85% = regular SLA breaches; unacceptable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Precisión variable; depends SLA definition precision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Ambiguity in SLA = measurement issues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Reportado semanal; escalations daily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updates real-time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Gaming posible (SLA definition manipulation)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Mitigación: SLA governance; frozen definitions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SLA tracking cost moderate; ROI process optimization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 tooling &lt;&lt; benefit process improvement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SCORE PRAGMATIC PONDERADO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4.00/5.0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BUENO — Implementar con SLA governance formal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Operational efficiency metric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EJECUTIVO: SCORING DE INDICADORES</w:t>
      </w:r>
    </w:p>
    <w:p>
      <w:pPr>
        <w:pStyle w:val="Heading3"/>
        <w:keepNext/>
        <w:keepLines/>
      </w:pPr>
      <w:r>
        <w:t>Ranking por Score PRAGMATIC Ponderado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RANKING   INDICADOR                              SCORE    CATEGORÍA</w:t>
        <w:br/>
        <w:t>──────────────────────────────────────────────────────────────────────</w:t>
        <w:br/>
        <w:t>1.        Patch Rate (CVSS ≥7 ≤30d)              4.78    EXCELENTE</w:t>
        <w:br/>
        <w:t>2.        Incident Notification (≤4h)            4.78    EXCELENTE</w:t>
        <w:br/>
        <w:t>3.        MTTD (&lt;15 min)                         4.33    EXCELENTE</w:t>
        <w:br/>
        <w:t>4.        TLPT Completion Rate                   4.33    EXCELENTE</w:t>
        <w:br/>
        <w:t>5.        Cryptography Encryption (%)            4.33    EXCELENTE</w:t>
        <w:br/>
        <w:t>6.        BC Testing Completion (%)              4.22    EXCELENTE</w:t>
        <w:br/>
        <w:t>7.        Phishing Click Rate (%)                4.22    EXCELENTE</w:t>
        <w:br/>
        <w:t>8.        DORA-Compliant Contracts (%)           4.22    EXCELENTE</w:t>
        <w:br/>
        <w:t>9.        Vulnerability Coverage (%)             4.00    BUENO</w:t>
        <w:br/>
        <w:t>10.       Incident Response SLA (%)              4.00    BUENO</w:t>
        <w:br/>
        <w:t>11.       Board Training Completion (%)          3.89    BUENO</w:t>
        <w:br/>
        <w:t>12.       ICT Risk Framework (%)                 3.78    BUENO</w:t>
        <w:br/>
        <w:t>13.       MTTR (&lt;4h)                             3.78    BUENO</w:t>
        <w:br/>
        <w:t>14.       Third-Party Risk Coverage (%)          3.67    BUENO</w:t>
        <w:br/>
        <w:t>15.       False Positive Rate (%)                3.33    ACEPTABLE</w:t>
        <w:br/>
        <w:t>──────────────────────────────────────────────────────────────────────</w:t>
        <w:br/>
        <w:t>PROMEDIO INDICADORES:  4.07/5.0  ← Cartera de métricas BUENO-EXCELENTE</w:t>
        <w:br/>
      </w:r>
    </w:p>
    <w:p>
      <w:pPr>
        <w:pStyle w:val="Heading2"/>
        <w:keepNext/>
        <w:keepLines/>
      </w:pPr>
      <w:r>
        <w:rPr>
          <w:color w:val="0066CC"/>
        </w:rPr>
        <w:t>RECOMENDACIONES ESTRATÉGICAS</w:t>
      </w:r>
    </w:p>
    <w:p>
      <w:pPr>
        <w:pStyle w:val="Heading3"/>
        <w:keepNext/>
        <w:keepLines/>
      </w:pPr>
      <w:r>
        <w:t>A. Implementación Inmediata (Score ≥4.5)</w:t>
      </w:r>
    </w:p>
    <w:p>
      <w:r>
        <w:t xml:space="preserve">✓ </w:t>
      </w:r>
      <w:r>
        <w:rPr>
          <w:b/>
        </w:rPr>
        <w:t>Patch Rate</w:t>
      </w:r>
      <w:r>
        <w:t xml:space="preserve"> (4.78): Implementar scanning semanal + dashboard</w:t>
      </w:r>
      <w:r/>
      <w:r>
        <w:br/>
        <w:t xml:space="preserve">✓ </w:t>
      </w:r>
      <w:r>
        <w:rPr>
          <w:b/>
        </w:rPr>
        <w:t>Incident Notification</w:t>
      </w:r>
      <w:r>
        <w:t xml:space="preserve"> (4.78): Automatizar proceso de notificación</w:t>
      </w:r>
      <w:r/>
      <w:r>
        <w:br/>
        <w:t xml:space="preserve">✓ </w:t>
      </w:r>
      <w:r>
        <w:rPr>
          <w:b/>
        </w:rPr>
        <w:t>MTTD</w:t>
      </w:r>
      <w:r>
        <w:t xml:space="preserve"> (4.33): Deploy SIEM con alertas configuradas</w:t>
      </w:r>
      <w:r/>
      <w:r>
        <w:br/>
        <w:t xml:space="preserve">✓ </w:t>
      </w:r>
      <w:r>
        <w:rPr>
          <w:b/>
        </w:rPr>
        <w:t>TLPT</w:t>
      </w:r>
      <w:r>
        <w:t xml:space="preserve"> (4.33): Contratar red team certified Q2 2026</w:t>
      </w:r>
    </w:p>
    <w:p>
      <w:r>
        <w:rPr>
          <w:b/>
        </w:rPr>
        <w:t>Presupuesto Fase 1:</w:t>
      </w:r>
      <w:r>
        <w:t xml:space="preserve"> €250-350K</w:t>
      </w:r>
      <w:r/>
      <w:r>
        <w:br/>
      </w:r>
      <w:r>
        <w:rPr>
          <w:b/>
        </w:rPr>
        <w:t>Timeline:</w:t>
      </w:r>
      <w:r>
        <w:t xml:space="preserve"> Q1 2026 (critical) / Q2 2026 (TLPT)</w:t>
      </w:r>
    </w:p>
    <w:p>
      <w:pPr>
        <w:pStyle w:val="Heading3"/>
        <w:keepNext/>
        <w:keepLines/>
      </w:pPr>
      <w:r>
        <w:t>B. Implementación Fase 2 (Score 4.0-4.5)</w:t>
      </w:r>
    </w:p>
    <w:p>
      <w:r>
        <w:t xml:space="preserve">→ </w:t>
      </w:r>
      <w:r>
        <w:rPr>
          <w:b/>
        </w:rPr>
        <w:t>Cryptography</w:t>
      </w:r>
      <w:r>
        <w:t xml:space="preserve"> (4.33): Encryption roadmap; legacy modernization</w:t>
      </w:r>
      <w:r/>
      <w:r>
        <w:br/>
        <w:t xml:space="preserve">→ </w:t>
      </w:r>
      <w:r>
        <w:rPr>
          <w:b/>
        </w:rPr>
        <w:t>BC Testing</w:t>
      </w:r>
      <w:r>
        <w:t xml:space="preserve"> (4.22): Semi-annual tabletop + site activation</w:t>
      </w:r>
      <w:r/>
      <w:r>
        <w:br/>
        <w:t xml:space="preserve">→ </w:t>
      </w:r>
      <w:r>
        <w:rPr>
          <w:b/>
        </w:rPr>
        <w:t>Phishing Simulations</w:t>
      </w:r>
      <w:r>
        <w:t xml:space="preserve"> (4.22): Monthly cadence; training triggered</w:t>
      </w:r>
      <w:r/>
      <w:r>
        <w:br/>
        <w:t xml:space="preserve">→ </w:t>
      </w:r>
      <w:r>
        <w:rPr>
          <w:b/>
        </w:rPr>
        <w:t>DORA Contracts</w:t>
      </w:r>
      <w:r>
        <w:t xml:space="preserve"> (4.22): Legal sprint; renegotiación prioritizada</w:t>
      </w:r>
    </w:p>
    <w:p>
      <w:r>
        <w:rPr>
          <w:b/>
        </w:rPr>
        <w:t>Presupuesto Fase 2:</w:t>
      </w:r>
      <w:r>
        <w:t xml:space="preserve"> €150-200K</w:t>
      </w:r>
      <w:r/>
      <w:r>
        <w:br/>
      </w:r>
      <w:r>
        <w:rPr>
          <w:b/>
        </w:rPr>
        <w:t>Timeline:</w:t>
      </w:r>
      <w:r>
        <w:t xml:space="preserve"> Q2-Q3 2026</w:t>
      </w:r>
    </w:p>
    <w:p>
      <w:pPr>
        <w:pStyle w:val="Heading3"/>
        <w:keepNext/>
        <w:keepLines/>
      </w:pPr>
      <w:r>
        <w:t>C. Implementación Fase 3 (Score 3.5-4.0)</w:t>
      </w:r>
    </w:p>
    <w:p>
      <w:r>
        <w:t xml:space="preserve">→ </w:t>
      </w:r>
      <w:r>
        <w:rPr>
          <w:b/>
        </w:rPr>
        <w:t>Vulnerability Coverage</w:t>
      </w:r>
      <w:r>
        <w:t xml:space="preserve"> (4.00): Extend scanning; fill asset gaps</w:t>
      </w:r>
      <w:r/>
      <w:r>
        <w:br/>
        <w:t xml:space="preserve">→ </w:t>
      </w:r>
      <w:r>
        <w:rPr>
          <w:b/>
        </w:rPr>
        <w:t>SLA Achievement</w:t>
      </w:r>
      <w:r>
        <w:t xml:space="preserve"> (4.00): Formalize SLA governance</w:t>
      </w:r>
      <w:r/>
      <w:r>
        <w:br/>
        <w:t xml:space="preserve">→ </w:t>
      </w:r>
      <w:r>
        <w:rPr>
          <w:b/>
        </w:rPr>
        <w:t>Board Training</w:t>
      </w:r>
      <w:r>
        <w:t xml:space="preserve"> (3.89): Annual formal program</w:t>
      </w:r>
      <w:r/>
      <w:r>
        <w:br/>
        <w:t xml:space="preserve">→ </w:t>
      </w:r>
      <w:r>
        <w:rPr>
          <w:b/>
        </w:rPr>
        <w:t>Framework Evaluation</w:t>
      </w:r>
      <w:r>
        <w:t xml:space="preserve"> (3.78): External audit completitud</w:t>
      </w:r>
    </w:p>
    <w:p>
      <w:r>
        <w:rPr>
          <w:b/>
        </w:rPr>
        <w:t>Presupuesto Fase 3:</w:t>
      </w:r>
      <w:r>
        <w:t xml:space="preserve"> €80-120K</w:t>
      </w:r>
      <w:r/>
      <w:r>
        <w:br/>
      </w:r>
      <w:r>
        <w:rPr>
          <w:b/>
        </w:rPr>
        <w:t>Timeline:</w:t>
      </w:r>
      <w:r>
        <w:t xml:space="preserve"> Q3-Q4 2026</w:t>
      </w:r>
    </w:p>
    <w:p>
      <w:pPr>
        <w:pStyle w:val="Heading3"/>
        <w:keepNext/>
        <w:keepLines/>
      </w:pPr>
      <w:r>
        <w:t>D. Indicadores de Atención (Score &lt;3.8)</w:t>
      </w:r>
    </w:p>
    <w:p>
      <w:r>
        <w:t xml:space="preserve">⚠ </w:t>
      </w:r>
      <w:r>
        <w:rPr>
          <w:b/>
        </w:rPr>
        <w:t>False Positive Rate</w:t>
      </w:r>
      <w:r>
        <w:t xml:space="preserve"> (3.33): Requiere governance cuidadosa; no es métrica primaria</w:t>
      </w:r>
      <w:r/>
      <w:r>
        <w:br/>
        <w:t>→ Acción: Use como secondary indicator; no para decisiones críticas</w:t>
      </w:r>
    </w:p>
    <w:p>
      <w:pPr>
        <w:pStyle w:val="Heading2"/>
        <w:keepNext/>
        <w:keepLines/>
      </w:pPr>
      <w:r>
        <w:rPr>
          <w:color w:val="0066CC"/>
        </w:rPr>
        <w:t>MATRIZ DE DECISIÓN: IMPLEMENTACIÓN vs PRIORIZACIÓN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 PRAGMATIC    Recomendación             Plazo de Implementación</w:t>
        <w:br/>
        <w:t>─────────────────────────────────────────────────────────────────────</w:t>
        <w:br/>
        <w:t>4.5+               Obligatorio; Prioritario  AHORA (Jan 2026)</w:t>
        <w:br/>
        <w:t>4.0-4.5            Altamente Recomendado    Q2-Q3 2026</w:t>
        <w:br/>
        <w:t>3.5-4.0            Recomendado              Q3-Q4 2026</w:t>
        <w:br/>
        <w:t>&lt;3.5               Bajo Prioridad; Revisión Roadmap 2027+</w:t>
        <w:br/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Esta matriz proporciona </w:t>
      </w:r>
      <w:r>
        <w:rPr>
          <w:b/>
        </w:rPr>
        <w:t>framework riguroso</w:t>
      </w:r>
      <w:r>
        <w:t xml:space="preserve"> para:</w:t>
      </w:r>
    </w:p>
    <w:p>
      <w:pPr>
        <w:pStyle w:val="ListNumber"/>
        <w:keepLines w:val="1"/>
        <w:keepNext w:val="1"/>
        <w:widowControl w:val="1"/>
      </w:pPr>
      <w:r>
        <w:t>✓ Priorizar métricas por calidad PRAGMATIC</w:t>
      </w:r>
    </w:p>
    <w:p>
      <w:pPr>
        <w:pStyle w:val="ListNumber"/>
        <w:keepLines w:val="1"/>
        <w:keepNext w:val="1"/>
        <w:widowControl w:val="1"/>
      </w:pPr>
      <w:r>
        <w:t>✓ Justificar inversión en herramientas técnicas</w:t>
      </w:r>
    </w:p>
    <w:p>
      <w:pPr>
        <w:pStyle w:val="ListNumber"/>
        <w:keepLines w:val="1"/>
        <w:keepNext w:val="1"/>
        <w:widowControl w:val="1"/>
      </w:pPr>
      <w:r>
        <w:t>✓ Alinear DORA compliance con realidad operacional</w:t>
      </w:r>
    </w:p>
    <w:p>
      <w:pPr>
        <w:pStyle w:val="ListNumber"/>
        <w:keepLines w:val="1"/>
        <w:keepNext w:val="1"/>
        <w:widowControl w:val="1"/>
      </w:pPr>
      <w:r>
        <w:t>✓ Roadmap ejecutable con timelines y presupuesto</w:t>
      </w:r>
    </w:p>
    <w:p>
      <w:pPr>
        <w:pStyle w:val="ListNumber"/>
        <w:keepLines w:val="1"/>
        <w:widowControl w:val="1"/>
      </w:pPr>
      <w:r>
        <w:t>✓ Governance descentralizado con responsabilidades claras</w:t>
      </w:r>
    </w:p>
    <w:p>
      <w:r>
        <w:rPr>
          <w:b/>
        </w:rPr>
        <w:t>Implementación de esta cartera → CMI &gt;3.8 + auditoría supervisora aprobada</w:t>
      </w:r>
      <w:r>
        <w:t xml:space="preserve"> (probable Q3 2026)</w:t>
      </w:r>
    </w:p>
    <w:p>
      <w:r>
        <w:rPr>
          <w:b/>
        </w:rPr>
        <w:t>Fin de la Matriz</w:t>
      </w:r>
    </w:p>
    <w:p>
      <w:r>
        <w:rPr>
          <w:i/>
        </w:rPr>
        <w:t>Enero 2026 — Evaluación Integral de Métricas DORA para Instituciones Financieras Españolas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