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SSVC y gestión de vulnerabilidades</w:t>
      </w:r>
    </w:p>
    <w:p>
      <w:r>
        <w:t>Esta guía acompaña al modelo de encuesta y explica qué pretende medir cada bloque, cómo interpretar las respuestas y cómo conectar los resultados con SSVC, NIS2 y las mejores prácticas actuales. [web:19][web:24][web:30][web:33]</w:t>
      </w:r>
    </w:p>
    <w:p>
      <w:pPr>
        <w:pStyle w:val="Heading2"/>
        <w:keepNext/>
        <w:keepLines/>
      </w:pPr>
      <w:r>
        <w:rPr>
          <w:color w:val="0066CC"/>
        </w:rPr>
        <w:t>1. Propósito general</w:t>
      </w:r>
    </w:p>
    <w:p>
      <w:r>
        <w:t>La encuesta busca medir, con algo más de precisión que una auditoría superficial, el grado de adopción de enfoques de priorización basados en riesgo, con foco en SSVC, EPSS y el ecosistema de datos enriquecidos (CISA KEV, Vulnrichment, CSAF, etc.). [web:19][web:22][web:25] El objetivo es disponer de una base comparable entre organizaciones que permita analizar madurez, brechas y oportunidades de mejora.</w:t>
      </w:r>
    </w:p>
    <w:p>
      <w:r>
        <w:t>La lógica de diseño está inspirada en el proceso de “bootstrapping” de SSVC (identificar decisiones, roles y datos) y en los requisitos de NIS2 sobre gestión de vulnerabilidades continua, documentada y gobernada a nivel de dirección. [web:30][web:19][web:33][web:39]</w:t>
      </w:r>
    </w:p>
    <w:p>
      <w:pPr>
        <w:pStyle w:val="Heading2"/>
        <w:keepNext/>
        <w:keepLines/>
      </w:pPr>
      <w:r>
        <w:rPr>
          <w:color w:val="0066CC"/>
        </w:rPr>
        <w:t>2. Población objetivo y roles</w:t>
      </w:r>
    </w:p>
    <w:p>
      <w:r>
        <w:t>La encuesta está dirigida a responsables que tengan visibilidad global o, al menos, transversal sobre la gestión de vulnerabilidades:</w:t>
      </w:r>
    </w:p>
    <w:p>
      <w:pPr>
        <w:pStyle w:val="ListBullet"/>
        <w:keepLines w:val="1"/>
        <w:keepNext w:val="1"/>
        <w:widowControl w:val="1"/>
      </w:pPr>
      <w:r>
        <w:t xml:space="preserve">CISO, responsables de ciberseguridad, responsables de riesgo operacional o tecnológico.  </w:t>
      </w:r>
    </w:p>
    <w:p>
      <w:pPr>
        <w:pStyle w:val="ListBullet"/>
        <w:keepLines w:val="1"/>
        <w:keepNext w:val="1"/>
        <w:widowControl w:val="1"/>
      </w:pPr>
      <w:r>
        <w:t xml:space="preserve">Responsables de TI, infraestructuras, SOC o CERT internos.  </w:t>
      </w:r>
    </w:p>
    <w:p>
      <w:pPr>
        <w:pStyle w:val="ListBullet"/>
        <w:keepLines w:val="1"/>
        <w:widowControl w:val="1"/>
      </w:pPr>
      <w:r>
        <w:t>Responsables de cumplimiento, especialmente en entidades sujetas a NIS2. [web:33][web:39]</w:t>
      </w:r>
    </w:p>
    <w:p>
      <w:r>
        <w:t>En organizaciones grandes puede justificarse la respuesta coordinada por un pequeño grupo (por ejemplo, CISO + responsable de IT + responsable de riesgo), consolidando una única respuesta consensuada.</w:t>
      </w:r>
    </w:p>
    <w:p>
      <w:pPr>
        <w:pStyle w:val="Heading2"/>
        <w:keepNext/>
        <w:keepLines/>
      </w:pPr>
      <w:r>
        <w:rPr>
          <w:color w:val="0066CC"/>
        </w:rPr>
        <w:t>3. Estructura y racionalidad de bloques</w:t>
      </w:r>
    </w:p>
    <w:p>
      <w:pPr>
        <w:pStyle w:val="Heading3"/>
        <w:keepNext/>
        <w:keepLines/>
      </w:pPr>
      <w:r>
        <w:t>3.1. Identificación de la organización (Bloque 0)</w:t>
      </w:r>
    </w:p>
    <w:p>
      <w:r>
        <w:t>Permite segmentar resultados por tamaño, sector y ámbito geográfico, lo cual es crucial para interpretar niveles de adopción y madurez. [web:35][web:38] Un operador crítico de energía con miles de activos OT no está en la misma posición que una pyme de servicios.</w:t>
      </w:r>
    </w:p>
    <w:p>
      <w:pPr>
        <w:pStyle w:val="Heading3"/>
        <w:keepNext/>
        <w:keepLines/>
      </w:pPr>
      <w:r>
        <w:t>3.2. Gobernanza (Bloque 1)</w:t>
      </w:r>
    </w:p>
    <w:p>
      <w:r>
        <w:t>Este bloque mide:</w:t>
      </w:r>
    </w:p>
    <w:p>
      <w:pPr>
        <w:pStyle w:val="ListBullet"/>
        <w:keepLines w:val="1"/>
        <w:keepNext w:val="1"/>
        <w:widowControl w:val="1"/>
      </w:pPr>
      <w:r>
        <w:t xml:space="preserve">Existencia de políticas formales de gestión de vulnerabilidades.  </w:t>
      </w:r>
    </w:p>
    <w:p>
      <w:pPr>
        <w:pStyle w:val="ListBullet"/>
        <w:keepLines w:val="1"/>
        <w:keepNext w:val="1"/>
        <w:widowControl w:val="1"/>
      </w:pPr>
      <w:r>
        <w:t xml:space="preserve">Nivel de implicación de la alta dirección y del Consejo.  </w:t>
      </w:r>
    </w:p>
    <w:p>
      <w:pPr>
        <w:pStyle w:val="ListBullet"/>
        <w:keepLines w:val="1"/>
        <w:widowControl w:val="1"/>
      </w:pPr>
      <w:r>
        <w:t>Grado de integración con la gestión de riesgos corporativos. [web:33][web:39][web:36]</w:t>
      </w:r>
    </w:p>
    <w:p>
      <w:r>
        <w:t>SSVC, aunque parezca eminentemente técnico, es un mecanismo de decisión; sin gobernanza y accountability, se convierte en un juego de árboles de decisión decorativos. [web:24][web:30][web:19]</w:t>
      </w:r>
    </w:p>
    <w:p>
      <w:pPr>
        <w:pStyle w:val="Heading3"/>
        <w:keepNext/>
        <w:keepLines/>
      </w:pPr>
      <w:r>
        <w:t>3.3. Inventario y contexto de activos (Bloque 2)</w:t>
      </w:r>
    </w:p>
    <w:p>
      <w:r>
        <w:t>SSVC se alimenta de contexto: qué activos, qué servicios, qué criticidad, qué dependencia de terceros. [web:24][web:33][web:19] Este bloque evalúa:</w:t>
      </w:r>
    </w:p>
    <w:p>
      <w:pPr>
        <w:pStyle w:val="ListBullet"/>
        <w:keepLines w:val="1"/>
        <w:keepNext w:val="1"/>
        <w:widowControl w:val="1"/>
      </w:pPr>
      <w:r>
        <w:t xml:space="preserve">Calidad del inventario.  </w:t>
      </w:r>
    </w:p>
    <w:p>
      <w:pPr>
        <w:pStyle w:val="ListBullet"/>
        <w:keepLines w:val="1"/>
        <w:keepNext w:val="1"/>
        <w:widowControl w:val="1"/>
      </w:pPr>
      <w:r>
        <w:t xml:space="preserve">Uso de identificadores estándar (CPE, SBOM, etiquetas cloud). [web:19][web:22]  </w:t>
      </w:r>
    </w:p>
    <w:p>
      <w:pPr>
        <w:pStyle w:val="ListBullet"/>
        <w:keepLines w:val="1"/>
        <w:widowControl w:val="1"/>
      </w:pPr>
      <w:r>
        <w:t>Capacidad para identificar activos que soportan servicios esenciales.</w:t>
      </w:r>
    </w:p>
    <w:p>
      <w:r>
        <w:t>Las respuestas permiten inferir hasta qué punto es viable automatizar correlaciones CVE–CPE–servicio, algo indispensable para un SSVC operativo.</w:t>
      </w:r>
    </w:p>
    <w:p>
      <w:pPr>
        <w:pStyle w:val="Heading3"/>
        <w:keepNext/>
        <w:keepLines/>
      </w:pPr>
      <w:r>
        <w:t>3.4. Detección y evaluación inicial (Bloque 3)</w:t>
      </w:r>
    </w:p>
    <w:p>
      <w:r>
        <w:t>Aquí se diagnostica la “higiene de base”:</w:t>
      </w:r>
    </w:p>
    <w:p>
      <w:pPr>
        <w:pStyle w:val="ListBullet"/>
        <w:keepLines w:val="1"/>
        <w:widowControl w:val="1"/>
      </w:pPr>
      <w:r>
        <w:t>Frecuencia de escaneos, integración de inteligencia externa, uso de datos de explotación real y de modelos EPSS. [web:33][web:35][web:20][web:23]</w:t>
      </w:r>
    </w:p>
    <w:p>
      <w:r>
        <w:t>Sin detección frecuente y señales externas, SSVC se queda sin combustible. Una organización con escaneos trimestrales y sin KEV/EPSS difícilmente podrá emular a CISA, por muy entusiasta que sea su árbol de decisión. [web:19][web:6][web:25]</w:t>
      </w:r>
    </w:p>
    <w:p>
      <w:pPr>
        <w:pStyle w:val="Heading3"/>
        <w:keepNext/>
        <w:keepLines/>
      </w:pPr>
      <w:r>
        <w:t>3.5. Adopción de SSVC (Bloque 4)</w:t>
      </w:r>
    </w:p>
    <w:p>
      <w:r>
        <w:t>Mide el conocimiento formal del marco SSVC, la existencia o no de modelos propios (ajustados a roles y contexto), y el uso de herramientas con soporte nativo o adaptado. [web:24][web:30][web:19][web:8][web:21] Este bloque es clave para:</w:t>
      </w:r>
    </w:p>
    <w:p>
      <w:pPr>
        <w:pStyle w:val="ListBullet"/>
        <w:keepLines w:val="1"/>
        <w:keepNext w:val="1"/>
        <w:widowControl w:val="1"/>
      </w:pPr>
      <w:r>
        <w:t xml:space="preserve">Diferenciar entre organizaciones que “han oído hablar de SSVC” y aquellas que lo han incorporado a procedimientos y herramientas.  </w:t>
      </w:r>
    </w:p>
    <w:p>
      <w:pPr>
        <w:pStyle w:val="ListBullet"/>
        <w:keepLines w:val="1"/>
        <w:widowControl w:val="1"/>
      </w:pPr>
      <w:r>
        <w:t>Identificar si la adopción se ha hecho siguiendo buenas prácticas (decisiones explícitas, roles claros) o mediante imitaciones superficiales.</w:t>
      </w:r>
    </w:p>
    <w:p>
      <w:pPr>
        <w:pStyle w:val="Heading3"/>
        <w:keepNext/>
        <w:keepLines/>
      </w:pPr>
      <w:r>
        <w:t>3.6. Puntos de decisión SSVC (Bloque 5)</w:t>
      </w:r>
    </w:p>
    <w:p>
      <w:r>
        <w:t>Evalúa la capacidad de la organización para manejar los ángulos fundamentales de SSVC:</w:t>
      </w:r>
    </w:p>
    <w:p>
      <w:pPr>
        <w:pStyle w:val="ListBullet"/>
        <w:keepLines w:val="1"/>
        <w:keepNext w:val="1"/>
        <w:widowControl w:val="1"/>
      </w:pPr>
      <w:r>
        <w:t xml:space="preserve">Explotación (estado y granularidad). [web:22][web:25][web:20]  </w:t>
      </w:r>
    </w:p>
    <w:p>
      <w:pPr>
        <w:pStyle w:val="ListBullet"/>
        <w:keepLines w:val="1"/>
        <w:keepNext w:val="1"/>
        <w:widowControl w:val="1"/>
      </w:pPr>
      <w:r>
        <w:t xml:space="preserve">Automatización del ataque. [web:8][web:24]  </w:t>
      </w:r>
    </w:p>
    <w:p>
      <w:pPr>
        <w:pStyle w:val="ListBullet"/>
        <w:keepLines w:val="1"/>
        <w:widowControl w:val="1"/>
      </w:pPr>
      <w:r>
        <w:t>Impacto técnico y en la misión, exposición y controles compensatorios. [web:24][web:33][web:19]</w:t>
      </w:r>
    </w:p>
    <w:p>
      <w:r>
        <w:t>Este bloque revela si la organización cuenta con datos y criterios con los que poblar las ramas del árbol SSVC. La ausencia de criterios claros en estos puntos es uno de los inhibidores más frecuentes de adopción real. [web:19][web:37]</w:t>
      </w:r>
    </w:p>
    <w:p>
      <w:pPr>
        <w:pStyle w:val="Heading3"/>
        <w:keepNext/>
        <w:keepLines/>
      </w:pPr>
      <w:r>
        <w:t>3.7. De decisión a acción (Bloque 6)</w:t>
      </w:r>
    </w:p>
    <w:p>
      <w:r>
        <w:t>Permite evaluar si las decisiones SSVC (o equivalentes) se traducen en plazos, SLA, gestión de backlog y reporting estructurado. [web:6][web:33][web:32][web:27] SSVC es un sistema operativo de priorización; este bloque detecta si el “kernel” está conectado al hardware organizativo o solo corre en un laboratorio.</w:t>
      </w:r>
    </w:p>
    <w:p>
      <w:pPr>
        <w:pStyle w:val="Heading3"/>
        <w:keepNext/>
        <w:keepLines/>
      </w:pPr>
      <w:r>
        <w:t>3.8. Métricas, IGM y ROI (Bloque 7)</w:t>
      </w:r>
    </w:p>
    <w:p>
      <w:r>
        <w:t>Aquí el foco son las métricas operativas y de valor:</w:t>
      </w:r>
    </w:p>
    <w:p>
      <w:pPr>
        <w:pStyle w:val="ListBullet"/>
        <w:keepLines w:val="1"/>
        <w:widowControl w:val="1"/>
      </w:pPr>
      <w:r>
        <w:t>MTTD, MTTR, cumplimiento de plazos, correlación con incidentes, existencia de indicadores globales de madurez y ROI. [web:32][web:27][web:35][web:41][web:16][web:20]</w:t>
      </w:r>
    </w:p>
    <w:p>
      <w:r>
        <w:t>Este bloque alimenta la futura plantilla Excel (IGM y ROI) y permite evaluar el grado de cuantificación de la gestión de vulnerabilidades. Un programa maduro no solo remedia; también mide y justifica. [web:27][web:32]</w:t>
      </w:r>
    </w:p>
    <w:p>
      <w:pPr>
        <w:pStyle w:val="Heading3"/>
        <w:keepNext/>
        <w:keepLines/>
      </w:pPr>
      <w:r>
        <w:t>3.9. NIS2, cumplimiento y reporting (Bloque 8)</w:t>
      </w:r>
    </w:p>
    <w:p>
      <w:r>
        <w:t>Relaciona la práctica de gestión de vulnerabilidades con requisitos de NIS2:</w:t>
      </w:r>
    </w:p>
    <w:p>
      <w:pPr>
        <w:pStyle w:val="ListBullet"/>
        <w:keepLines w:val="1"/>
        <w:widowControl w:val="1"/>
      </w:pPr>
      <w:r>
        <w:t>Continuidad, documentación, SLA, reporting y evidencia para supervisión. [web:33][web:36][web:39]</w:t>
      </w:r>
    </w:p>
    <w:p>
      <w:r>
        <w:t>De poco sirve tener un SSVC elegante si luego no se puede explicar al regulador, y menos aún si no se puede demostrar que se cumple lo decidido.</w:t>
      </w:r>
    </w:p>
    <w:p>
      <w:pPr>
        <w:pStyle w:val="Heading3"/>
        <w:keepNext/>
        <w:keepLines/>
      </w:pPr>
      <w:r>
        <w:t>3.10. Automatización y capacidades técnicas (Bloque 9)</w:t>
      </w:r>
    </w:p>
    <w:p>
      <w:r>
        <w:t>Este bloque evalúa el grado de automatización, el uso de APIs y estándares (JSON SSVC, CSAF) y el coqueteo con modelos avanzados (ML, scoring dinámico). [web:8][web:18][web:19][web:28][web:17][web:20] El objetivo es distinguir entre:</w:t>
      </w:r>
    </w:p>
    <w:p>
      <w:pPr>
        <w:pStyle w:val="ListBullet"/>
        <w:keepLines w:val="1"/>
        <w:keepNext w:val="1"/>
        <w:widowControl w:val="1"/>
      </w:pPr>
      <w:r>
        <w:t xml:space="preserve">Organizaciones con pipelines integrados, capaces de procesar miles de CVE.  </w:t>
      </w:r>
    </w:p>
    <w:p>
      <w:pPr>
        <w:pStyle w:val="ListBullet"/>
        <w:keepLines w:val="1"/>
        <w:widowControl w:val="1"/>
      </w:pPr>
      <w:r>
        <w:t>Organizaciones que dependen de heroicidades individuales con hojas Excel.</w:t>
      </w:r>
    </w:p>
    <w:p>
      <w:pPr>
        <w:pStyle w:val="Heading3"/>
        <w:keepNext/>
        <w:keepLines/>
      </w:pPr>
      <w:r>
        <w:t>3.11. Cultura y futuro (Bloque 10)</w:t>
      </w:r>
    </w:p>
    <w:p>
      <w:r>
        <w:t>Las preguntas finales captan aspectos cualitativos: percepción de valor, apoyo del negocio y prioridad estratégica. No se puede implantar SSVC a golpe de decreto; hace falta cierta confluencia entre técnica, gobernanza y cultura. [web:39][web:27][web:38]</w:t>
      </w:r>
    </w:p>
    <w:p>
      <w:pPr>
        <w:pStyle w:val="Heading2"/>
        <w:keepNext/>
        <w:keepLines/>
      </w:pPr>
      <w:r>
        <w:rPr>
          <w:color w:val="0066CC"/>
        </w:rPr>
        <w:t>4. Escalas, codificación y agregación</w:t>
      </w:r>
    </w:p>
    <w:p>
      <w:r>
        <w:t>Las respuestas están diseñadas, mayoritariamente, como escalas ordinales:</w:t>
      </w:r>
    </w:p>
    <w:p>
      <w:pPr>
        <w:pStyle w:val="ListBullet"/>
        <w:keepLines w:val="1"/>
        <w:keepNext w:val="1"/>
        <w:widowControl w:val="1"/>
      </w:pPr>
      <w:r>
        <w:t xml:space="preserve">De ausencia a formalización plena.  </w:t>
      </w:r>
    </w:p>
    <w:p>
      <w:pPr>
        <w:pStyle w:val="ListBullet"/>
        <w:keepLines w:val="1"/>
        <w:keepNext w:val="1"/>
        <w:widowControl w:val="1"/>
      </w:pPr>
      <w:r>
        <w:t xml:space="preserve">De manual a altamente automatizado.  </w:t>
      </w:r>
    </w:p>
    <w:p>
      <w:pPr>
        <w:pStyle w:val="ListBullet"/>
        <w:keepLines w:val="1"/>
        <w:widowControl w:val="1"/>
      </w:pPr>
      <w:r>
        <w:t>De “carga inevitable” a “palanca estratégica”.</w:t>
      </w:r>
    </w:p>
    <w:p>
      <w:r>
        <w:t>Esto permite codificar resultados en niveles de madurez por bloque (por ejemplo, 0–3) y construir un Indicador Global de Madurez (IGM) normalizado. [web:27][web:32]</w:t>
      </w:r>
    </w:p>
    <w:p>
      <w:r>
        <w:t>Se recomienda:</w:t>
      </w:r>
    </w:p>
    <w:p>
      <w:pPr>
        <w:pStyle w:val="ListNumber"/>
        <w:keepLines w:val="1"/>
        <w:keepNext w:val="1"/>
        <w:widowControl w:val="1"/>
      </w:pPr>
      <w:r>
        <w:t xml:space="preserve">Asignar puntuaciones numéricas a cada opción (por ejemplo, 0 a 3).  </w:t>
      </w:r>
    </w:p>
    <w:p>
      <w:pPr>
        <w:pStyle w:val="ListNumber"/>
        <w:keepLines w:val="1"/>
        <w:keepNext w:val="1"/>
        <w:widowControl w:val="1"/>
      </w:pPr>
      <w:r>
        <w:t xml:space="preserve">Normalizar cada bloque a un valor de 0–100.  </w:t>
      </w:r>
    </w:p>
    <w:p>
      <w:pPr>
        <w:pStyle w:val="ListNumber"/>
        <w:keepLines w:val="1"/>
        <w:widowControl w:val="1"/>
      </w:pPr>
      <w:r>
        <w:t>Agregar ponderando más aquellos bloques que mejor reflejen prioridades regulatorias o estratégicas (por ejemplo, gobernanza, puntos de decisión SSVC, métricas y NIS2). [web:33][web:39]</w:t>
      </w:r>
    </w:p>
    <w:p>
      <w:pPr>
        <w:pStyle w:val="Heading2"/>
        <w:keepNext/>
        <w:keepLines/>
      </w:pPr>
      <w:r>
        <w:rPr>
          <w:color w:val="0066CC"/>
        </w:rPr>
        <w:t>5. Uso de los resultados</w:t>
      </w:r>
    </w:p>
    <w:p>
      <w:pPr>
        <w:pStyle w:val="Heading3"/>
        <w:keepNext/>
        <w:keepLines/>
      </w:pPr>
      <w:r>
        <w:t>5.1. A nivel de organización</w:t>
      </w:r>
    </w:p>
    <w:p>
      <w:pPr>
        <w:pStyle w:val="ListBullet"/>
        <w:keepLines w:val="1"/>
        <w:keepNext w:val="1"/>
        <w:widowControl w:val="1"/>
      </w:pPr>
      <w:r>
        <w:t xml:space="preserve">Identificar brechas específicas (por ejemplo, excelentes métricas pero pobre gobernanza, o viceversa).  </w:t>
      </w:r>
    </w:p>
    <w:p>
      <w:pPr>
        <w:pStyle w:val="ListBullet"/>
        <w:keepLines w:val="1"/>
        <w:keepNext w:val="1"/>
        <w:widowControl w:val="1"/>
      </w:pPr>
      <w:r>
        <w:t xml:space="preserve">Justificar inversiones en herramientas, personal o cambios de proceso.  </w:t>
      </w:r>
    </w:p>
    <w:p>
      <w:pPr>
        <w:pStyle w:val="ListBullet"/>
        <w:keepLines w:val="1"/>
        <w:widowControl w:val="1"/>
      </w:pPr>
      <w:r>
        <w:t>Establecer hojas de ruta de madurez en 12–24 meses. [web:33][web:27][web:32]</w:t>
      </w:r>
    </w:p>
    <w:p>
      <w:pPr>
        <w:pStyle w:val="Heading3"/>
        <w:keepNext/>
        <w:keepLines/>
      </w:pPr>
      <w:r>
        <w:t>5.2. A nivel sectorial o nacional</w:t>
      </w:r>
    </w:p>
    <w:p>
      <w:pPr>
        <w:pStyle w:val="ListBullet"/>
        <w:keepLines w:val="1"/>
        <w:keepNext w:val="1"/>
        <w:widowControl w:val="1"/>
      </w:pPr>
      <w:r>
        <w:t xml:space="preserve">Comparar niveles de madurez entre sectores (energía, salud, administración).  </w:t>
      </w:r>
    </w:p>
    <w:p>
      <w:pPr>
        <w:pStyle w:val="ListBullet"/>
        <w:keepLines w:val="1"/>
        <w:keepNext w:val="1"/>
        <w:widowControl w:val="1"/>
      </w:pPr>
      <w:r>
        <w:t xml:space="preserve">Identificar patrones de adopción de SSVC y obstáculos comunes. [web:19][web:6]  </w:t>
      </w:r>
    </w:p>
    <w:p>
      <w:pPr>
        <w:pStyle w:val="ListBullet"/>
        <w:keepLines w:val="1"/>
        <w:widowControl w:val="1"/>
      </w:pPr>
      <w:r>
        <w:t>Alimentar políticas públicas, guías sectoriales o requisitos mínimos para operadores esenciales. [web:33][web:39]</w:t>
      </w:r>
    </w:p>
    <w:p>
      <w:pPr>
        <w:pStyle w:val="Heading2"/>
        <w:keepNext/>
        <w:keepLines/>
      </w:pPr>
      <w:r>
        <w:rPr>
          <w:color w:val="0066CC"/>
        </w:rPr>
        <w:t>6. Sesgos, limitaciones y buenas prácticas de implementación</w:t>
      </w:r>
    </w:p>
    <w:p>
      <w:pPr>
        <w:pStyle w:val="ListBullet"/>
        <w:keepLines w:val="1"/>
        <w:keepNext w:val="1"/>
        <w:widowControl w:val="1"/>
      </w:pPr>
      <w:r>
        <w:t xml:space="preserve">La encuesta se basa en autoevaluación; es inevitable cierto optimismo institucional. Se recomienda auditoría o contraste externo en organizaciones críticas.  </w:t>
      </w:r>
    </w:p>
    <w:p>
      <w:pPr>
        <w:pStyle w:val="ListBullet"/>
        <w:keepLines w:val="1"/>
        <w:keepNext w:val="1"/>
        <w:widowControl w:val="1"/>
      </w:pPr>
      <w:r>
        <w:t xml:space="preserve">Algunos conceptos (SSVC, EPSS, Vulnrichment, KEV) pueden no ser familiares para todos; proporcionar un glosario previo ayuda a mejorar la calidad de las respuestas. [web:19][web:22][web:25][web:24][web:23]  </w:t>
      </w:r>
    </w:p>
    <w:p>
      <w:pPr>
        <w:pStyle w:val="ListBullet"/>
        <w:keepLines w:val="1"/>
        <w:widowControl w:val="1"/>
      </w:pPr>
      <w:r>
        <w:t>Aplicar la encuesta periódicamente (por ejemplo, anual) permite medir progreso y evitar que SSVC se convierta en el “proyecto piloto eterno”.</w:t>
      </w:r>
    </w:p>
    <w:p>
      <w:pPr>
        <w:pStyle w:val="Heading2"/>
        <w:keepNext/>
        <w:keepLines/>
      </w:pPr>
      <w:r>
        <w:rPr>
          <w:color w:val="0066CC"/>
        </w:rPr>
        <w:t>7. Referencias conceptuales clave</w:t>
      </w:r>
    </w:p>
    <w:p>
      <w:pPr>
        <w:pStyle w:val="ListBullet"/>
        <w:keepLines w:val="1"/>
        <w:keepNext w:val="1"/>
        <w:widowControl w:val="1"/>
      </w:pPr>
      <w:r>
        <w:t xml:space="preserve">SEI CERT/CC – Documentación oficial de SSVC (modelos, bootstrapping, puntos de decisión). [web:24][web:30][web:5][web:19][web:37]  </w:t>
      </w:r>
    </w:p>
    <w:p>
      <w:pPr>
        <w:pStyle w:val="ListBullet"/>
        <w:keepLines w:val="1"/>
        <w:keepNext w:val="1"/>
        <w:widowControl w:val="1"/>
      </w:pPr>
      <w:r>
        <w:t xml:space="preserve">CISA – Programas KEV y Vulnrichment y uso de SSVC a gran escala. [web:6][web:22][web:25][web:28][web:19]  </w:t>
      </w:r>
    </w:p>
    <w:p>
      <w:pPr>
        <w:pStyle w:val="ListBullet"/>
        <w:keepLines w:val="1"/>
        <w:keepNext w:val="1"/>
        <w:widowControl w:val="1"/>
      </w:pPr>
      <w:r>
        <w:t xml:space="preserve">NIS2 y guías de vulnerabilidad – Expectativas sobre gestión continua, priorización basada en riesgo y reporting. [web:33][web:36][web:39]  </w:t>
      </w:r>
    </w:p>
    <w:p>
      <w:pPr>
        <w:pStyle w:val="ListBullet"/>
        <w:keepLines w:val="1"/>
        <w:widowControl w:val="1"/>
      </w:pPr>
      <w:r>
        <w:t>Informes industriales de métricas y estados de gestión de vulnerabilidades. [web:27][web:32][web:35][web:38][web:41]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