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para métricas SSVC a nivel nacional</w:t>
      </w:r>
    </w:p>
    <w:p>
      <w:r>
        <w:t>Para cada métrica definida en el marco GQM, se evalúa cualitativamente su grado de cumplimiento de los nueve criterios PRAGMATIC: Predictivo, Relevante, Accionable, Genuino, Significativo, Preciso, Oportuno, Independiente, Rentable. [web:27][web:32][web:33][web:19][web:6]</w:t>
      </w:r>
    </w:p>
    <w:p>
      <w:r>
        <w:t>Escala sugerida (cualitativa, reconvertible a numérica si se desea):</w:t>
      </w:r>
    </w:p>
    <w:p>
      <w:pPr>
        <w:pStyle w:val="ListBullet"/>
        <w:keepLines w:val="1"/>
        <w:keepNext w:val="1"/>
        <w:widowControl w:val="1"/>
      </w:pPr>
      <w:r>
        <w:t xml:space="preserve">Alto  </w:t>
      </w:r>
    </w:p>
    <w:p>
      <w:pPr>
        <w:pStyle w:val="ListBullet"/>
        <w:keepLines w:val="1"/>
        <w:keepNext w:val="1"/>
        <w:widowControl w:val="1"/>
      </w:pPr>
      <w:r>
        <w:t xml:space="preserve">Medio  </w:t>
      </w:r>
    </w:p>
    <w:p>
      <w:pPr>
        <w:pStyle w:val="ListBullet"/>
        <w:keepLines w:val="1"/>
        <w:widowControl w:val="1"/>
      </w:pPr>
      <w:r>
        <w:t xml:space="preserve">Bajo  </w:t>
      </w:r>
    </w:p>
    <w:p>
      <w:pPr>
        <w:pStyle w:val="Heading2"/>
        <w:keepNext/>
        <w:keepLines/>
      </w:pPr>
      <w:r>
        <w:rPr>
          <w:color w:val="0066CC"/>
        </w:rPr>
        <w:t>1. Leyenda breve de criterios PRAGMATIC</w:t>
      </w:r>
    </w:p>
    <w:p>
      <w:pPr>
        <w:pStyle w:val="ListBullet"/>
        <w:keepLines w:val="1"/>
        <w:keepNext w:val="1"/>
        <w:widowControl w:val="1"/>
      </w:pPr>
      <w:r>
        <w:t xml:space="preserve">Predictivo: capacidad de anticipar resultados futuros (riesgo, incidentes).  </w:t>
      </w:r>
    </w:p>
    <w:p>
      <w:pPr>
        <w:pStyle w:val="ListBullet"/>
        <w:keepLines w:val="1"/>
        <w:keepNext w:val="1"/>
        <w:widowControl w:val="1"/>
      </w:pPr>
      <w:r>
        <w:t xml:space="preserve">Relevante: alineación con objetivos nacionales y regulatorios.  </w:t>
      </w:r>
    </w:p>
    <w:p>
      <w:pPr>
        <w:pStyle w:val="ListBullet"/>
        <w:keepLines w:val="1"/>
        <w:keepNext w:val="1"/>
        <w:widowControl w:val="1"/>
      </w:pPr>
      <w:r>
        <w:t xml:space="preserve">Accionable: capacidad de guiar decisiones concretas.  </w:t>
      </w:r>
    </w:p>
    <w:p>
      <w:pPr>
        <w:pStyle w:val="ListBullet"/>
        <w:keepLines w:val="1"/>
        <w:keepNext w:val="1"/>
        <w:widowControl w:val="1"/>
      </w:pPr>
      <w:r>
        <w:t xml:space="preserve">Genuino: resistencia a la manipulación; refleja la realidad.  </w:t>
      </w:r>
    </w:p>
    <w:p>
      <w:pPr>
        <w:pStyle w:val="ListBullet"/>
        <w:keepLines w:val="1"/>
        <w:keepNext w:val="1"/>
        <w:widowControl w:val="1"/>
      </w:pPr>
      <w:r>
        <w:t xml:space="preserve">Significativo: fácil de interpretar; comunica algo importante.  </w:t>
      </w:r>
    </w:p>
    <w:p>
      <w:pPr>
        <w:pStyle w:val="ListBullet"/>
        <w:keepLines w:val="1"/>
        <w:keepNext w:val="1"/>
        <w:widowControl w:val="1"/>
      </w:pPr>
      <w:r>
        <w:t xml:space="preserve">Preciso: estabilidad y exactitud de la medida.  </w:t>
      </w:r>
    </w:p>
    <w:p>
      <w:pPr>
        <w:pStyle w:val="ListBullet"/>
        <w:keepLines w:val="1"/>
        <w:keepNext w:val="1"/>
        <w:widowControl w:val="1"/>
      </w:pPr>
      <w:r>
        <w:t xml:space="preserve">Oportuno: puede obtenerse con la frecuencia adecuada.  </w:t>
      </w:r>
    </w:p>
    <w:p>
      <w:pPr>
        <w:pStyle w:val="ListBullet"/>
        <w:keepLines w:val="1"/>
        <w:keepNext w:val="1"/>
        <w:widowControl w:val="1"/>
      </w:pPr>
      <w:r>
        <w:t xml:space="preserve">Independiente: no duplica información de otras métricas; aporta algo nuevo.  </w:t>
      </w:r>
    </w:p>
    <w:p>
      <w:pPr>
        <w:pStyle w:val="ListBullet"/>
        <w:keepLines w:val="1"/>
        <w:widowControl w:val="1"/>
      </w:pPr>
      <w:r>
        <w:t>Rentable: coste razonable de obtención y mantenimiento.</w:t>
      </w:r>
    </w:p>
    <w:p>
      <w:pPr>
        <w:pStyle w:val="Heading2"/>
        <w:keepNext/>
        <w:keepLines/>
      </w:pPr>
      <w:r>
        <w:rPr>
          <w:color w:val="0066CC"/>
        </w:rPr>
        <w:t>2. Matriz PRAGMATIC por métrica</w:t>
      </w:r>
    </w:p>
    <w:p>
      <w:pPr>
        <w:pStyle w:val="Heading3"/>
        <w:keepNext/>
        <w:keepLines/>
      </w:pPr>
      <w:r>
        <w:t>2.1. Capa de datos</w:t>
      </w:r>
    </w:p>
    <w:p>
      <w:pPr>
        <w:pStyle w:val="Heading4"/>
        <w:keepNext/>
        <w:keepLines/>
      </w:pPr>
      <w:r>
        <w:t>M1.1 – % de CVE relevantes con evaluación SSVC básica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Contribuye indirectamente a capacidad de priorización, pero no predice incidentes por sí mismo.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objetivo de disponer de datos SSVC para priorización nacional. [web:19][web:22][web:25]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(“queremos ≥ X %”) y orientar esfuerzos de Vulnrichment y acuerdos de datos.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inflarse marcando “completo” con datos superficiales; requiere controles de calidad.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explicar: “qué parte del universo de vulnerabilidades conocemos bien”.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definición de “CVE relevante”; requiere criterio consistente.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mensualmente; la latencia es aceptable para planificación, no para reacción diaria.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Complementa, pero no sustituye, métricas de eficacia o tiempos de remediación.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Una vez montada la integración con fuentes CVE/SSVC, el cálculo es barato. [web:19][web:28]</w:t>
            </w:r>
          </w:p>
        </w:tc>
      </w:tr>
    </w:tbl>
    <w:p/>
    <w:p>
      <w:pPr>
        <w:pStyle w:val="Heading4"/>
        <w:keepNext/>
        <w:keepLines/>
      </w:pPr>
      <w:r>
        <w:t>M1.2 – % de CVE relevantes con evaluación SSVC revisada localmente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Similar a M1.1; aporta contexto local, pero sigue siendo capacidad, no resultado.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reflejar particularidades nacionales/sectoriales. [web:6][web:7][web:10]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recursos analíticos del CERT nacional.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“marcar revisado” sin cambios sustantivos; exige muestreo y auditoría.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Entendible, pero requiere explicar el valor añadido de la revisión local.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definición de “revisión” puede variar entre equipos.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Bajo–Medio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Dependiente de capacidad de personal; riesgo de retrasos.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M1.1; puede correlacionarse fuertemente.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esfuerzo cualificado; puede ser costoso si se pretende alta cobertura.</w:t>
            </w:r>
          </w:p>
        </w:tc>
      </w:tr>
    </w:tbl>
    <w:p/>
    <w:p>
      <w:pPr>
        <w:pStyle w:val="Heading4"/>
        <w:keepNext/>
        <w:keepLines/>
      </w:pPr>
      <w:r>
        <w:t>M2.1 – % de activos críticos con identificadores normalizados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Habilita correlaciones futuras, pero no predice incidentes directamente.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Base de cualquier priorización seria; alineado con NIS2 y buenas prácticas de inventario. [web:33]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Guia programas de inventario y etiquetado; objetivo claro (“100 % de activos críticos etiquetados”).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“maquillar” sin trabajo real; o hay CPE/SBOM o no.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reguladores y dirección: “sabemos qué tenemos”.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definición de “activo crítico” y de la calidad del inventario.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actualiza típicamente trimestral o anualmente; suficiente para planificación.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otras métricas de inventario, pero con foco específico en normalización.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inversiones en inventario y herramientas, pero es un coste estructural necesario.</w:t>
            </w:r>
          </w:p>
        </w:tc>
      </w:tr>
    </w:tbl>
    <w:p/>
    <w:p>
      <w:pPr>
        <w:pStyle w:val="Heading4"/>
        <w:keepNext/>
        <w:keepLines/>
      </w:pPr>
      <w:r>
        <w:t>M2.2 – % de activos críticos cubiertos por CVE con SSVC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Cuanta más cobertura, más probable que se detecten y prioricen vulnerabilidades críticas.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ligado al objetivo de priorización nacional efectiva.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focalizar esfuerzos de integración de datos y normalización donde falta cobertura.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sobreestimarse si se consideran asociaciones débiles activo–CVE.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Narra cuánto del “parque crítico” está realmente bajo radar SSVC.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correlación CPE–CVE–SSVC.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Recalculable mensualmente con datos automatizados.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Amplía M2.1, pero añade dimensión “SSVC disponible”.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Una vez integrados sistemas, el coste de cálculo es bajo. [web:19][web:28]</w:t>
            </w:r>
          </w:p>
        </w:tc>
      </w:tr>
    </w:tbl>
    <w:p/>
    <w:p>
      <w:pPr>
        <w:pStyle w:val="Heading4"/>
        <w:keepNext/>
        <w:keepLines/>
      </w:pPr>
      <w:r>
        <w:t>M3.1 – Tiempo medio global de enriquecimiento SSVC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anticipar brechas temporales de datos que podrían traducirse en ventanas de riesgo.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ligado a la capacidad de respuesta rápida ante nuevos CVE. [web:19][web:22]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usarse para exigir SLA a proveedores de datos o mejorar integraciones.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marcas de tiempo; difícil de manipular sin dejar rastro.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Debe explicarse la relación entre “días de retardo” y riesgo operativo.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temporales claros (fecha CVE, fecha SSVC).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monitorizar casi en tiempo real si las fuentes son automatizadas.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Complementa, sin solapar, con métricas de respuesta de operadores.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de cálculo una vez disponibles los metadatos.</w:t>
            </w:r>
          </w:p>
        </w:tc>
      </w:tr>
    </w:tbl>
    <w:p/>
    <w:p>
      <w:pPr>
        <w:pStyle w:val="Heading4"/>
        <w:keepNext/>
        <w:keepLines/>
      </w:pPr>
      <w:r>
        <w:t>M3.2 – Tiempo medio de ajuste SSVC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Señala si el país llega “a tiempo” a contextualizar decisiones globales.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cuando el contexto nacional difiere del global (uso tecnológico, amenazas).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definir y controlar SLA internos del CERT nacional. [web:6][web:7]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fechas de publicación; relativamente robusto.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explicar el valor del ajuste local.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Fechas claras si los procesos están bien sistematizados.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capacidad de recursos humanos; el indicador puede llegar con retardo.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Profundiza en M3.1, centrado en capa local.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Exige procesos formales y registro; coste moderado.</w:t>
            </w:r>
          </w:p>
        </w:tc>
      </w:tr>
    </w:tbl>
    <w:p/>
    <w:p>
      <w:pPr>
        <w:pStyle w:val="Heading3"/>
        <w:keepNext/>
        <w:keepLines/>
      </w:pPr>
      <w:r>
        <w:t>2.2. Capa de decisión</w:t>
      </w:r>
    </w:p>
    <w:p>
      <w:r>
        <w:t>(Para abreviar, algunas filas se presentan más compactas; el patrón es el mismo.)</w:t>
      </w:r>
    </w:p>
    <w:p>
      <w:pPr>
        <w:pStyle w:val="Heading4"/>
        <w:keepNext/>
        <w:keepLines/>
      </w:pPr>
      <w:r>
        <w:t>M4.1 – Distribución Act/Attend/Track sobre CVE en activos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predice incidentes, pero refleja nivel de presión futura sobre remediación.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Núcleo del uso de SSVC a nivel nacional. [web:24][web:6]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revisar el modelo (demasiadas Act pueden ser inasumibles, demasiadas Track, complacientes).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“ajustar” categorías para cumplir objetivos políticos.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explicar: “cuántas vulnerabilidades exigimos tratar como urgentes”.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la categorización está bien definida, el conteo es claro.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actualiza conforme se toman decisiones SSVC.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Vinculado a otras métricas de volumen, pero añade la dimensión de “acción”.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Conteo trivial sobre datos existentes.</w:t>
            </w:r>
          </w:p>
        </w:tc>
      </w:tr>
    </w:tbl>
    <w:p/>
    <w:p>
      <w:pPr>
        <w:pStyle w:val="Heading4"/>
        <w:keepNext/>
        <w:keepLines/>
      </w:pPr>
      <w:r>
        <w:t>M5.1 – MTTR nacional para vulnerabilidades 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Cuanto mayor sea, más probable una exposición prolongada y futuros incidentes. [web:32][web:27]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NIS2 y objetivos de resiliencia. [web:33]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plazos y exigir planes de mejora a sectores rezagados.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“maquillarse” cerrando registros antes de la mitigación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Uno de los pocos números que entendemos todos: cuánto tardamos.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definiciones claras de “remediado” y fuentes de datos fiables.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Dependiente del ciclo de reporting de operadores (mensual/trimestral).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% en plazo, pero aporta valor propio.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Cálculo sencillo; el coste real está en obtener fechas fiables.</w:t>
            </w:r>
          </w:p>
        </w:tc>
      </w:tr>
    </w:tbl>
    <w:p/>
    <w:p>
      <w:pPr>
        <w:pStyle w:val="Heading4"/>
        <w:keepNext/>
        <w:keepLines/>
      </w:pPr>
      <w:r>
        <w:t>M5.2 – % de vulnerabilidades Act remediadas en plazo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 cumplimiento → menor exposición futura.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alineado con expectativas de supervisión NIS2. [web:33][web:39]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Claramente accionable vía planes correctivos, multas, incentivos.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Sufre si se redefine el SLA para maquillar resultados.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Usable en reporting público (“X % en plazo”).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Mismas cautelas que MTTR.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Ciclo ligado al reporting.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Complemento natural de MTTR.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Cálculo trivial sobre datos de MTTR; coste marginal.</w:t>
            </w:r>
          </w:p>
        </w:tc>
      </w:tr>
    </w:tbl>
    <w:p/>
    <w:p>
      <w:pPr>
        <w:pStyle w:val="Heading4"/>
        <w:keepNext/>
        <w:keepLines/>
      </w:pPr>
      <w:r>
        <w:t>M6.1 – Tasa de discrepancias entre SSVC nacional y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Bajo–Medio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fricción, no necesariamente riesgo inmediato.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gobernanza y alineación, menos para operaciones puras.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 disparador de revisiones y diálogos regulador–operadores.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sub‑reportarse si no se exige declarar discrepancias.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Debe interpretarse con contexto: cierta discrepancia puede ser sana.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Bajo–Medio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disciplina de registro.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Suele analizarse a posteriori.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de gobernanza distinta de tiempos y volúmenes.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modificaciones en procesos de reporting.</w:t>
            </w:r>
          </w:p>
        </w:tc>
      </w:tr>
    </w:tbl>
    <w:p/>
    <w:p>
      <w:pPr>
        <w:pStyle w:val="Heading3"/>
        <w:keepNext/>
        <w:keepLines/>
      </w:pPr>
      <w:r>
        <w:t>2.3. Capa de eficacia y resiliencia</w:t>
      </w:r>
    </w:p>
    <w:p>
      <w:pPr>
        <w:pStyle w:val="Heading4"/>
        <w:keepNext/>
        <w:keepLines/>
      </w:pPr>
      <w:r>
        <w:t>M7.1 – % de incidentes graves debidos a Track/Attend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Cuando esta métrica empeora, hay un problema de modelo que anticipa futuros fallos de priorización. [web:16][web:20]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la eficacia del modelo SSVC.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Motiva recalibración de puntos de decisión y plazos.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capacidad de atribuir incidentes a vulnerabilidades específicas.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“falsos negativos”; conceptualmente potente.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Medio–Bajo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Atribución y clasificación pueden ser discutibles.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Bajo–Medio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análisis posterior a incidentes; no es en tiempo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métricas de cumplimiento de SLA con impacto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Exige análisis de incidentes, pero suele hacerse por otros motivos.</w:t>
            </w:r>
          </w:p>
        </w:tc>
      </w:tr>
    </w:tbl>
    <w:p/>
    <w:p>
      <w:pPr>
        <w:pStyle w:val="Heading4"/>
        <w:keepNext/>
        <w:keepLines/>
      </w:pPr>
      <w:r>
        <w:t>M8.1 – Tiempo acumulado de exposición a KEV‑Act (días‑activo)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“área bajo la curva” de exposición → mayor probabilidad de explotación. [web:25][web:12]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KEV recoge vulnerabilidades explotadas; la exposición directa es crítica. [web:6]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de reducción de exposición y priorizar sectores.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datos de inventario y fechas correctas; posible subregistro.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Concepto algo técnico, pero explicable: “cuánto tiempo hemos estado abiertos de par en par”.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Calidad depende de la granularidad de inventario y reporting.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mensualmente; útil para supervisión.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MTTR y % en plazo, pero introduce la dimensión “volumen de activos”.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Cálculo algo más complejo; pero automático una vez montado.</w:t>
            </w:r>
          </w:p>
        </w:tc>
      </w:tr>
    </w:tbl>
    <w:p/>
    <w:p>
      <w:pPr>
        <w:pStyle w:val="Heading4"/>
        <w:keepNext/>
        <w:keepLines/>
      </w:pPr>
      <w:r>
        <w:t>M9.1 – Reducción interanual del backlog crítico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 decreciente sugiere riesgo más controlado, pero puede deberse a cambios de criterios. [web:27][web:32]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conectado con la sostenibilidad de la remediación.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Apoya decisiones de recursos (más personal, automatización, cambios de prioridades).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manipularse reclasificando vulnerabilidades a menor criticidad.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contexto de cambios de modelo y volumen de nuevas vulnerabilidades.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definición estable de “crítico”.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trimestral/anual con datos de ticketing.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MTTR y % en plazo, pero mide “stock”, no “flujo”.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Cálculo sencillo una vez se tiene inventario de tickets.</w:t>
            </w:r>
          </w:p>
        </w:tc>
      </w:tr>
    </w:tbl>
    <w:p/>
    <w:p>
      <w:pPr>
        <w:pStyle w:val="Heading4"/>
        <w:keepNext/>
        <w:keepLines/>
      </w:pPr>
      <w:r>
        <w:t>M9.2 – Reducción del MTTR para Act tras SSVC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Eval.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Medio–Alto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el MTTR baja tras SSVC, cabe esperar menos exposición futura.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el objetivo de implantar SSVC como acelerador de priorización. [web:19]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Ayuda a evaluar si SSVC está teniendo el efecto deseado y justificar su extensión.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Podría mejorarse “a la fuerza” cambiando criterios de cierre.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explicar: “desde que usamos SSVC, tardamos X días menos”.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Sujetos a la misma precisión que MTTR bruto.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ventanas comparables (antes/después).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Derivado de MTTR, pero con foco en impacto de la iniciativa SSVC.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coste, usa datos ya recopilados.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 la matriz PRAGMATIC</w:t>
      </w:r>
    </w:p>
    <w:p>
      <w:pPr>
        <w:pStyle w:val="ListBullet"/>
        <w:keepLines w:val="1"/>
        <w:keepNext w:val="1"/>
        <w:widowControl w:val="1"/>
      </w:pPr>
      <w:r>
        <w:t xml:space="preserve">Selección de métricas “estrella”: las que puntúan Alto en Relevante, Accionable y Significativo son candidatas a convertirse en KPIs nacionales.  </w:t>
      </w:r>
    </w:p>
    <w:p>
      <w:pPr>
        <w:pStyle w:val="ListBullet"/>
        <w:keepLines w:val="1"/>
        <w:keepNext w:val="1"/>
        <w:widowControl w:val="1"/>
      </w:pPr>
      <w:r>
        <w:t xml:space="preserve">Identificación de métricas “caras”: aquellas con Rentable = Bajo/Medio y aportación limitada pueden reservarse para análisis específicos o pilotos.  </w:t>
      </w:r>
    </w:p>
    <w:p>
      <w:pPr>
        <w:pStyle w:val="ListBullet"/>
        <w:keepLines w:val="1"/>
        <w:widowControl w:val="1"/>
      </w:pPr>
      <w:r>
        <w:t>Equilibrio de cartera: evitar tener solo métricas de “capacidad” (datos, inventario) o solo de “resultado” (incidentes); la combinación ofrece una visión completa. [web:27][web:32][web:33]</w:t>
      </w:r>
    </w:p>
    <w:p>
      <w:r>
        <w:t>La matriz puede traducirse a una escala numérica (por ejemplo, Alto=3, Medio=2, Bajo=1) para calcular un “score PRAGMATIC” por métrica y facilitar comparaciones.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