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objetivos GQM y métricas SSVC a requisitos normativos y marcos de referencia</w:t>
      </w:r>
    </w:p>
    <w:p>
      <w:r>
        <w:t>Esta tabla relaciona cada objetivo y métrica GQM con requisitos normativos (especialmente NIS2) y marcos oficiales (SSVC, KEV, Vulnrichment) relevantes. [web:24][web:19][web:6][web:22][web:25][web:33][web:39]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/ 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Referentes normativos / marcos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Relación principal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 / M1.1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CVE relevantes con SSVC 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(CERT/CC, SEI) [web:24][web:19]; CISA Vulnrichment [web:22][web:28]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exige priorizar según riesgo; disponer de datos SSVC es condición necesaria para priorización informada. [web:33][web:39]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 / M1.2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CVE con SSVC revisado localmente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como marco adaptable por contexto [web:24][web:19]; rol de CERT nacionales (INCIBE‑CERT, CCN‑CERT) [web:7][web:10]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cumplir expectativas de supervisión nacional, añadiendo contexto específico de país/sector al modelo global. [web:33]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 / M2.1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activos críticos con identificadores normalizados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descubrimiento y gestión de activos [web:33][web:39]; NIST CSF ID.AM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robusto con CPE/SBOM es base para cumplir obligaciones de gestión de vulnerabilidades.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 / M2.2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activos críticos cubiertos por CVE con SSVC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mitigación de riesgos conocidos [web:33][web:39]; KEV/SSVC [web:6][web:25][web:24]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inventario con vulnerabilidades priorizables, imprescindible para demostrar diligencia.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 / M3.1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global de enriquecimiento SSVC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CISA Vulnrichment y cronología de enriquecimiento [web:22][web:19]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Ayuda a justificar y gestionar ventanas de riesgo antes de disponer de datos completos.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 / M3.2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medio de ajuste SSVC local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 de los CSIRT nacionales en NIS2 [web:33]; guías CERT/CC sobre adaptación SSVC [web:24][web:19]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la capacidad de los CERT nacionales para contextualizar rápidamente las recomendaciones globales.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G4 / M4.1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Distribución Act/Attend/Track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SSVC – acciones recomendadas [web:24][web:30]; CISA uso de SSVC en KEV [web:6][web:25]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política nacional de priorización; puede utilizarse como base de obligaciones sectoriales. [web:33]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G4 / M4.2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Distribución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sectores esenciales/importantes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analizar consistencia de la política de priorización entre sectores y ajustar guías sectoriales.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G5 / M5.1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para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tiempos de respuesta razonables [web:33][web:39]; prácticas recomendadas de métricas [web:32][web:27]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la agilidad de remediación frente a vulnerabilidades prioritarias; apto para supervisión.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G5 / M5.2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Act en plazo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cumplimiento de medidas de seguridad y mitigación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Puede integrarse en planes de supervisión y eventualmente en regímenes sancionadores.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G6 / M6.1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Tasa de discrepancias nacional vs local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coordinación entre autoridades competentes y operadores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Detecta desalineación entre política nacional y decisiones de operadores; útil para diálogo regulatorio.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G6 / M6.2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discrepancias justificadas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accountability y documentación de decisiones de riesgo 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Asegura que las desviaciones no son arbitrarias, sino basadas en análisis documentado.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G7 / M7.1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incidentes graves por Track/Attend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Estudios empíricos CVSS/EPSS/SSVC [web:16][web:20]; NIS2 – impacto de incidentes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la eficacia real del modelo de priorización; indicador clave para revisión de políticas.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G7 / M7.2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Tendencia de M7.1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mejora continua 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demostrar (o refutar) que la evolución del modelo SSVC reduce errores de priorización.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G8 / M8.1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Exposición acumulada a KEV‑Act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CISA KEV [web:6][web:25]; BOD 22‑01 sobre remediación de vulnerabilidades explotadas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 obligaciones de remediación rápida con la realidad de exposición de activos críticos.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G8 / M8.2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Exposición media por 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– evaluación sectorial de riesgos 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comparar sectores y enfocar esfuerzos de supervisión donde la exposición es mayor.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G9 / M9.1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Reducción interanual de backlog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sobre estado de la gestión de vulnerabilidades [web:27][web:38][web:32][web:35]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la capacidad del sistema para no acumular deuda técnica crítica.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G9 / M9.2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Reducción de MTTR tras SSVC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Documentos de adopción SSVC [web:19][web:24]; informes industriales [web:27][web:32]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Aporta evidencia de que SSVC y datos enriquecidos tienen impacto tangible en tiempos de respuesta.</w:t>
            </w:r>
          </w:p>
        </w:tc>
      </w:tr>
    </w:tbl>
    <w:p/>
    <w:p>
      <w:r>
        <w:t>Este mapeo puede complementarse con referencias jurídicas nacionales específicas en función de la transposición de NIS2 y otras normativas sectoriales (financiero, energía, salud, etc.).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