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 de la Encuesta SSVC a requisitos normativos y marcos de referencia</w:t>
      </w:r>
    </w:p>
    <w:p>
      <w:r>
        <w:t>La tabla siguiente relaciona, a alto nivel, los bloques y tipos de preguntas de la encuesta con requisitos típicos de NIS2, buenas prácticas europeas, documentación SSVC y orientaciones de organismos oficiales y estándares. [web:24][web:30][web:33][web:39][web:19][web:6]</w:t>
      </w:r>
    </w:p>
    <w:p>
      <w:r>
        <w:t>Nota: el mapeo es orientativo y no sustituye a un análisis jurídico o de cumplimiento detallado.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 / 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Referente normativo / marco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Relación principal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0.x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Identificación básica de la organización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(clasificación entidades esenciales / importantes) [web:33][web:39]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Permite segmentar obligaciones y comparabilidad sectorial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1.1–1.4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Política y gobernanza de gestión de vulnerabilidades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– gestión de riesgos, gobernanza, responsabilidad de la dirección [web:33][web:39]; ISO 27001 A.5, A.8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Exigen políticas formales, integración en la gestión de riesgos y supervisión de la dirección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Formación de la alta dirección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– responsabilidad personal, capacitación de la dirección [web:39][web:36]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La dirección debe poder comprender y valorar las decisiones de riesgo, incluidas vulnerabilidades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2.1–2.4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Inventario y criticidad de activos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– descubrimiento de activos y gestión de riesgos [web:33]; NIST CSF ID.AM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La priorización debe apoyarse en un inventario actualizado y categorización de activos críticos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Frecuencia de escaneos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– supervisión continua, detección de vulnerabilidades [web:33][web:35]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Alineado con prácticas de monitorización continua y reducción del tiempo de exposición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3.2–3.4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Uso de KEV, Vulnrichment, EPSS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Prácticas CISA (KEV, Vulnrichment) [web:19][web:22][web:25]; investigación EPSS [web:23][web:20]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pide priorización basada en riesgo, lo que incluye explotación real y contexto de amenazas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4.1–4.5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Adopción de SSVC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Documentación CERT/CC SSVC [web:24][web:30][web:19][web:37]; prácticas CISA [web:6][web:19]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SSVC es uno de los marcos recomendados para priorización basada en impacto y explotación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5.1–5.6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Puntos de decisión SSVC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SSVC – explotación, impacto técnico, impacto misión, exposición [web:24][web:30]; KEV/Vulnrichment [web:22][web:25][web:19]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Estos atributos materializan el requisito de priorizar en función de riesgo real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6.1–6.5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 decisión a acción (SLA, backlog, reporting)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– tiempos de respuesta, reporting, evidencia de acciones [web:33][web:36]; CISA BOD 22‑01 [web:30]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SLA por criticidad y documentación de decisiones son esenciales para demostrar cumplimiento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7.1–7.3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Métricas (MTTD, MTTR, % en plazo)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Métricas de vulnerabilidades recomendadas en informes industriales [web:32][web:27][web:35][web:41]; NIS2 – reporting [web:33]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Las métricas permiten evidenciar el desempeño del programa de vulnerabilidades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Correlación decisiones–incidentes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Estudios empíricos CVSS/EPSS/SSVC [web:16][web:20]; NIS2 – mejora continua [web:33]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La revisión de incidentes sirve para ajustar el modelo de priorización y demostrar eficacia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7.5–7.6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IGM y ROI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Informes de estado de la gestión de vulnerabilidades [web:27][web:38][web:32][web:41]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Ayudan a conectar esfuerzos de seguridad con resultados de negocio y cumplimiento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8.1–8.4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Relación directa con 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– alcance, obligaciones específicas, reporting y evidencias [web:33][web:39][web:36]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Evalúan el grado de preparación de la organización ante supervisión y auditorías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9.1–9.3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Automatización y estándares (JSON SSVC, CSAF, ML)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SSVC – esquemas de datos, CVE/CSAF [web:19][web:24][web:28]; prácticas industriales [web:18][web:8][web:21][web:17]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La automatización es clave para escalar SSVC y cumplir plazos de respuesta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10.1–10.5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Cultura, apoyo y prioridades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NIS2 – liderazgo y responsabilidad [web:39][web:36]; informes de madurez [web:27][web:38]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Sin cultura y prioridades claras, el cumplimiento se convierte en ejercicio cosmético</w:t>
            </w:r>
          </w:p>
        </w:tc>
      </w:tr>
    </w:tbl>
    <w:p/>
    <w:p>
      <w:r>
        <w:t>Este mapeo puede ampliarse con referencias específicas al derecho nacional (transposición de NIS2, requisitos sectoriales, etc.) según el país y sector.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