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 para IGM y ROI de indicadores SSVC con enfoque GQM + PRAGMATIC</w:t>
      </w:r>
    </w:p>
    <w:p>
      <w:r>
        <w:t>Esta plantilla describe cómo estructurar un libro Excel que integre: (1) un Indicador Global de Madurez (IGM) basado en objetivos GQM y métricas SSVC nacionales, y (2) un cálculo de ROI ligado a mejoras en estas métricas. [web:27][web:32][web:16][web:20][web:33][web:19]</w:t>
      </w:r>
    </w:p>
    <w:p>
      <w:pPr>
        <w:pStyle w:val="Heading2"/>
        <w:keepNext/>
        <w:keepLines/>
      </w:pPr>
      <w:r>
        <w:rPr>
          <w:color w:val="0066CC"/>
        </w:rPr>
        <w:t>1. Hojas recomendadas</w:t>
      </w:r>
    </w:p>
    <w:p>
      <w:pPr>
        <w:pStyle w:val="ListNumber"/>
        <w:keepLines w:val="1"/>
        <w:keepNext w:val="1"/>
        <w:widowControl w:val="1"/>
      </w:pPr>
      <w:r>
        <w:t xml:space="preserve">Def_Metricas – Catálogo de métricas GQM (M1.1…M9.2) y su metadata PRAGMATIC.  </w:t>
      </w:r>
    </w:p>
    <w:p>
      <w:pPr>
        <w:pStyle w:val="ListNumber"/>
        <w:keepLines w:val="1"/>
        <w:keepNext w:val="1"/>
        <w:widowControl w:val="1"/>
      </w:pPr>
      <w:r>
        <w:t xml:space="preserve">Datos_Metricas – Valores para cada año/sector/operador.  </w:t>
      </w:r>
    </w:p>
    <w:p>
      <w:pPr>
        <w:pStyle w:val="ListNumber"/>
        <w:keepLines w:val="1"/>
        <w:keepNext w:val="1"/>
        <w:widowControl w:val="1"/>
      </w:pPr>
      <w:r>
        <w:t xml:space="preserve">IGM – Cálculo de índices por objetivo y global.  </w:t>
      </w:r>
    </w:p>
    <w:p>
      <w:pPr>
        <w:pStyle w:val="ListNumber"/>
        <w:keepLines w:val="1"/>
        <w:keepNext w:val="1"/>
        <w:widowControl w:val="1"/>
      </w:pPr>
      <w:r>
        <w:t xml:space="preserve">ROI – Costes, beneficios y ratios.  </w:t>
      </w:r>
    </w:p>
    <w:p>
      <w:pPr>
        <w:pStyle w:val="ListNumber"/>
        <w:keepLines w:val="1"/>
        <w:widowControl w:val="1"/>
      </w:pPr>
      <w:r>
        <w:t>Dashboard – Visualizaciones.</w:t>
      </w:r>
    </w:p>
    <w:p>
      <w:pPr>
        <w:pStyle w:val="Heading2"/>
        <w:keepNext/>
        <w:keepLines/>
      </w:pPr>
      <w:r>
        <w:rPr>
          <w:color w:val="0066CC"/>
        </w:rPr>
        <w:t>2. Hoja “Def_Metricas”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 xml:space="preserve">ID_Metrica – ej. M1.1, M5.2, M7.1.  </w:t>
      </w:r>
    </w:p>
    <w:p>
      <w:pPr>
        <w:pStyle w:val="ListBullet"/>
        <w:keepLines w:val="1"/>
        <w:keepNext w:val="1"/>
        <w:widowControl w:val="1"/>
      </w:pPr>
      <w:r>
        <w:t xml:space="preserve">Descripcion – resumen legible.  </w:t>
      </w:r>
    </w:p>
    <w:p>
      <w:pPr>
        <w:pStyle w:val="ListBullet"/>
        <w:keepLines w:val="1"/>
        <w:keepNext w:val="1"/>
        <w:widowControl w:val="1"/>
      </w:pPr>
      <w:r>
        <w:t xml:space="preserve">Objetivo_GQM – G1, G2…G9.  </w:t>
      </w:r>
    </w:p>
    <w:p>
      <w:pPr>
        <w:pStyle w:val="ListBullet"/>
        <w:keepLines w:val="1"/>
        <w:keepNext w:val="1"/>
        <w:widowControl w:val="1"/>
      </w:pPr>
      <w:r>
        <w:t xml:space="preserve">Unidad – %, días, días‑activo, etc.  </w:t>
      </w:r>
    </w:p>
    <w:p>
      <w:pPr>
        <w:pStyle w:val="ListBullet"/>
        <w:keepLines w:val="1"/>
        <w:keepNext w:val="1"/>
        <w:widowControl w:val="1"/>
      </w:pPr>
      <w:r>
        <w:t xml:space="preserve">PRAG_Predictivo … PRAG_Rentable – valor numérico (por ejemplo, 1–3) derivado de la matriz PRAGMATIC.  </w:t>
      </w:r>
    </w:p>
    <w:p>
      <w:pPr>
        <w:pStyle w:val="ListBullet"/>
        <w:keepLines w:val="1"/>
        <w:widowControl w:val="1"/>
      </w:pPr>
      <w:r>
        <w:t xml:space="preserve">Peso_Metrica – peso relativo en el cálculo del IGM (opcional).  </w:t>
      </w:r>
    </w:p>
    <w:p>
      <w:r>
        <w:t>Ejemplo de fila:</w:t>
      </w:r>
    </w:p>
    <w:p>
      <w:pPr>
        <w:pStyle w:val="ListBullet"/>
        <w:keepLines w:val="1"/>
        <w:widowControl w:val="1"/>
      </w:pPr>
      <w:r>
        <w:t>M5.2 – % de vulnerabilidades Act remediadas en plazo – G5 – % – PRAGMATIC: 3,3,3,2,3,2,2,2,2 – Peso_Metrica: 0,08. [web:32][web:33][web:39]</w:t>
      </w:r>
    </w:p>
    <w:p>
      <w:r>
        <w:t xml:space="preserve">Se puede añadir una columna </w:t>
      </w:r>
      <w:r>
        <w:rPr>
          <w:rFonts w:ascii="Courier New" w:hAnsi="Courier New"/>
          <w:sz w:val="18"/>
        </w:rPr>
        <w:t>Score_PRAGMATIC</w:t>
      </w:r>
      <w:r>
        <w:t xml:space="preserve"> con la suma o media de los nueve criterios para ayudar a priorizar qué métricas entran en el IGM global.</w:t>
      </w:r>
    </w:p>
    <w:p>
      <w:pPr>
        <w:pStyle w:val="Heading2"/>
        <w:keepNext/>
        <w:keepLines/>
      </w:pPr>
      <w:r>
        <w:rPr>
          <w:color w:val="0066CC"/>
        </w:rPr>
        <w:t>3. Hoja “Datos_Metricas”</w:t>
      </w:r>
    </w:p>
    <w:p>
      <w:r>
        <w:t>Cada fila representa una combinación de:</w:t>
      </w:r>
    </w:p>
    <w:p>
      <w:pPr>
        <w:pStyle w:val="ListBullet"/>
        <w:keepLines w:val="1"/>
        <w:keepNext w:val="1"/>
        <w:widowControl w:val="1"/>
      </w:pPr>
      <w:r>
        <w:t xml:space="preserve">Año.  </w:t>
      </w:r>
    </w:p>
    <w:p>
      <w:pPr>
        <w:pStyle w:val="ListBullet"/>
        <w:keepLines w:val="1"/>
        <w:keepNext w:val="1"/>
        <w:widowControl w:val="1"/>
      </w:pPr>
      <w:r>
        <w:t xml:space="preserve">Sector (o global).  </w:t>
      </w:r>
    </w:p>
    <w:p>
      <w:pPr>
        <w:pStyle w:val="ListBullet"/>
        <w:keepLines w:val="1"/>
        <w:widowControl w:val="1"/>
      </w:pPr>
      <w:r>
        <w:t xml:space="preserve">Operador (opcional).  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Año </w:t>
      </w:r>
    </w:p>
    <w:p>
      <w:pPr>
        <w:pStyle w:val="ListBullet"/>
        <w:keepLines w:val="1"/>
        <w:keepNext w:val="1"/>
        <w:widowControl w:val="1"/>
      </w:pPr>
      <w:r>
        <w:t xml:space="preserve">Sector </w:t>
      </w:r>
    </w:p>
    <w:p>
      <w:pPr>
        <w:pStyle w:val="ListBullet"/>
        <w:keepLines w:val="1"/>
        <w:keepNext w:val="1"/>
        <w:widowControl w:val="1"/>
      </w:pPr>
      <w:r>
        <w:t xml:space="preserve">Operador (opcional)  </w:t>
      </w:r>
    </w:p>
    <w:p>
      <w:pPr>
        <w:pStyle w:val="ListBullet"/>
        <w:keepLines w:val="1"/>
        <w:widowControl w:val="1"/>
      </w:pPr>
      <w:r>
        <w:t>Una columna por métrica (M1_1, M1_2, …, M9_2).</w:t>
      </w:r>
    </w:p>
    <w:p>
      <w:r>
        <w:t>Ejemplo: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Sector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M1_1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M1_2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M2_1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M2_2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…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M9_2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2027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Energía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72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35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90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85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…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4,5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4. Hoja “IGM”</w:t>
      </w:r>
    </w:p>
    <w:p>
      <w:pPr>
        <w:pStyle w:val="Heading3"/>
        <w:keepNext/>
        <w:keepLines/>
      </w:pPr>
      <w:r>
        <w:t>4.1. Índices por objetivo GQM</w:t>
      </w:r>
    </w:p>
    <w:p>
      <w:r>
        <w:t>Para cada G (G1–G9), se pueden calcular sub‑índices agregando las métricas asociadas:</w:t>
      </w:r>
    </w:p>
    <w:p>
      <w:pPr>
        <w:pStyle w:val="ListNumber"/>
        <w:keepLines w:val="1"/>
        <w:keepNext w:val="1"/>
        <w:widowControl w:val="1"/>
      </w:pPr>
      <w:r>
        <w:t xml:space="preserve">En Def_Metricas, marcar qué métricas pertenecen a cada objetivo.  </w:t>
      </w:r>
    </w:p>
    <w:p>
      <w:pPr>
        <w:pStyle w:val="ListNumber"/>
        <w:keepLines w:val="1"/>
        <w:widowControl w:val="1"/>
      </w:pPr>
      <w:r>
        <w:t>En IGM, para cada objetivo y combinación Año–Sector:</w:t>
      </w:r>
    </w:p>
    <w:p>
      <w:r>
        <w:rPr>
          <w:rFonts w:ascii="Courier New" w:hAnsi="Courier New"/>
          <w:sz w:val="18"/>
        </w:rPr>
        <w:t>IG_Gx = SUMAPRODUCTO( Valores_Metricas_Gx ; Pesos_Metricas_Gx ) / SUMA(Pesos_Metricas_Gx)</w:t>
      </w:r>
    </w:p>
    <w:p>
      <w:r>
        <w:t>Los valores pueden normalizarse a 0–100 por objetivo, usando rangos esperados (por ejemplo, mapear M5.2=0–100 % directamente, o transformar MTTR en una escala normalizada).</w:t>
      </w:r>
    </w:p>
    <w:p>
      <w:pPr>
        <w:pStyle w:val="Heading3"/>
        <w:keepNext/>
        <w:keepLines/>
      </w:pPr>
      <w:r>
        <w:t>4.2. IGM global</w:t>
      </w:r>
    </w:p>
    <w:p>
      <w:r>
        <w:t>Definir pesos para cada objetivo G (por ejemplo, más peso a G5–G8 por su conexión directa con riesgo e incidentes). [web:33][web:39][web:27]</w:t>
      </w:r>
    </w:p>
    <w:p>
      <w:r>
        <w:rPr>
          <w:rFonts w:ascii="Courier New" w:hAnsi="Courier New"/>
          <w:sz w:val="18"/>
        </w:rPr>
        <w:t>IGM_Global = SUMAPRODUCTO( IG_G1:IG_G9 ; Peso_G1:Peso_G9 )</w:t>
      </w:r>
    </w:p>
    <w:p>
      <w:r>
        <w:t>El resultado se normaliza a 0–100 y se clasifica en niveles de madurez (Inicial, Básico, Gestionado, Optimizado).</w:t>
      </w:r>
    </w:p>
    <w:p>
      <w:pPr>
        <w:pStyle w:val="Heading2"/>
        <w:keepNext/>
        <w:keepLines/>
      </w:pPr>
      <w:r>
        <w:rPr>
          <w:color w:val="0066CC"/>
        </w:rPr>
        <w:t>5. Hoja “ROI”</w:t>
      </w:r>
    </w:p>
    <w:p>
      <w:pPr>
        <w:pStyle w:val="Heading3"/>
        <w:keepNext/>
        <w:keepLines/>
      </w:pPr>
      <w:r>
        <w:t>5.1. Vinculación con métricas</w:t>
      </w:r>
    </w:p>
    <w:p>
      <w:r>
        <w:t>Para estimar ROI se parte de:</w:t>
      </w:r>
    </w:p>
    <w:p>
      <w:pPr>
        <w:pStyle w:val="ListBullet"/>
        <w:keepLines w:val="1"/>
        <w:keepNext w:val="1"/>
        <w:widowControl w:val="1"/>
      </w:pPr>
      <w:r>
        <w:t xml:space="preserve">Mejora en métricas de eficacia (M7.1, M8.1, M9.1, M9.2). [web:16][web:20][web:25][web:27]  </w:t>
      </w:r>
    </w:p>
    <w:p>
      <w:pPr>
        <w:pStyle w:val="ListBullet"/>
        <w:keepLines w:val="1"/>
        <w:widowControl w:val="1"/>
      </w:pPr>
      <w:r>
        <w:t>Mejora en métricas de cumplimiento (M5.2, M2.1, M2.2). [web:33][web:39]</w:t>
      </w:r>
    </w:p>
    <w:p>
      <w:r>
        <w:t>Variables:</w:t>
      </w:r>
    </w:p>
    <w:p>
      <w:pPr>
        <w:pStyle w:val="ListBullet"/>
        <w:keepLines w:val="1"/>
        <w:keepNext w:val="1"/>
        <w:widowControl w:val="1"/>
      </w:pPr>
      <w:r>
        <w:t xml:space="preserve">Costes_Programa – inversión en herramientas, personal y procesos SSVC.  </w:t>
      </w:r>
    </w:p>
    <w:p>
      <w:pPr>
        <w:pStyle w:val="ListBullet"/>
        <w:keepLines w:val="1"/>
        <w:keepNext w:val="1"/>
        <w:widowControl w:val="1"/>
      </w:pPr>
      <w:r>
        <w:t xml:space="preserve">Reduccion_Incidentes – estimación € basada en disminución de frecuencia/gravedad (vinculada a mejoras en M7.1, M8.1).  </w:t>
      </w:r>
    </w:p>
    <w:p>
      <w:pPr>
        <w:pStyle w:val="ListBullet"/>
        <w:keepLines w:val="1"/>
        <w:keepNext w:val="1"/>
        <w:widowControl w:val="1"/>
      </w:pPr>
      <w:r>
        <w:t xml:space="preserve">Reduccion_Sanciones – multas evitadas por mejor cumplimiento (mejoras en M5.2, M2.1). [web:33][web:39]  </w:t>
      </w:r>
    </w:p>
    <w:p>
      <w:pPr>
        <w:pStyle w:val="ListBullet"/>
        <w:keepLines w:val="1"/>
        <w:widowControl w:val="1"/>
      </w:pPr>
      <w:r>
        <w:t>Otros_Ahorros – menor tiempo de parada, eficiencia operativa, etc.</w:t>
      </w:r>
    </w:p>
    <w:p>
      <w:r>
        <w:t>Fórmulas:</w:t>
      </w:r>
    </w:p>
    <w:p>
      <w:pPr>
        <w:pStyle w:val="ListBullet"/>
        <w:keepLines w:val="1"/>
        <w:keepNext w:val="1"/>
        <w:widowControl w:val="1"/>
      </w:pPr>
      <w:r>
        <w:t xml:space="preserve">Beneficio_Total = Reduccion_Incidentes + Reduccion_Sanciones + Otros_Ahorros </w:t>
      </w:r>
    </w:p>
    <w:p>
      <w:pPr>
        <w:pStyle w:val="ListBullet"/>
        <w:keepLines w:val="1"/>
        <w:widowControl w:val="1"/>
      </w:pPr>
      <w:r>
        <w:t>ROI = (Beneficio_Total - Costes_Programa) / Costes_Programa</w:t>
      </w:r>
    </w:p>
    <w:p>
      <w:r>
        <w:t>Se pueden usar modelos simplificados, por ejemplo:</w:t>
      </w:r>
    </w:p>
    <w:p>
      <w:r>
        <w:rPr>
          <w:rFonts w:ascii="Courier New" w:hAnsi="Courier New"/>
          <w:sz w:val="18"/>
        </w:rPr>
        <w:t>Reduccion_Incidentes ≈ (Incidentes_Base * Coste_Medio_Incidente) * (ΔM7.1 en proporción)</w:t>
      </w:r>
    </w:p>
    <w:p>
      <w:r>
        <w:t xml:space="preserve">donde </w:t>
      </w:r>
      <w:r>
        <w:rPr>
          <w:rFonts w:ascii="Courier New" w:hAnsi="Courier New"/>
          <w:sz w:val="18"/>
        </w:rPr>
        <w:t>ΔM7.1</w:t>
      </w:r>
      <w:r>
        <w:t xml:space="preserve"> es la mejora en porcentaje de incidentes ligados a mala priorización.</w:t>
      </w:r>
    </w:p>
    <w:p>
      <w:pPr>
        <w:pStyle w:val="Heading2"/>
        <w:keepNext/>
        <w:keepLines/>
      </w:pPr>
      <w:r>
        <w:rPr>
          <w:color w:val="0066CC"/>
        </w:rPr>
        <w:t>6. Hoja “Dashboard”</w:t>
      </w:r>
    </w:p>
    <w:p>
      <w:r>
        <w:t>Sugerencias:</w:t>
      </w:r>
    </w:p>
    <w:p>
      <w:pPr>
        <w:pStyle w:val="ListBullet"/>
        <w:keepLines w:val="1"/>
        <w:keepNext w:val="1"/>
        <w:widowControl w:val="1"/>
      </w:pPr>
      <w:r>
        <w:t xml:space="preserve">Gráfico de barras por objetivo G (IG_G1…IG_G9) para ver qué parte del sistema está más rezagada.  </w:t>
      </w:r>
    </w:p>
    <w:p>
      <w:pPr>
        <w:pStyle w:val="ListBullet"/>
        <w:keepLines w:val="1"/>
        <w:keepNext w:val="1"/>
        <w:widowControl w:val="1"/>
      </w:pPr>
      <w:r>
        <w:t xml:space="preserve">Mapa de calor Año–Sector vs. IGM_Global.  </w:t>
      </w:r>
    </w:p>
    <w:p>
      <w:pPr>
        <w:pStyle w:val="ListBullet"/>
        <w:keepLines w:val="1"/>
        <w:keepNext w:val="1"/>
        <w:widowControl w:val="1"/>
      </w:pPr>
      <w:r>
        <w:t xml:space="preserve">Gráfico de dispersión IGM_Global vs. coste de incidentes. [web:27][web:32]  </w:t>
      </w:r>
    </w:p>
    <w:p>
      <w:pPr>
        <w:pStyle w:val="ListBullet"/>
        <w:keepLines w:val="1"/>
        <w:widowControl w:val="1"/>
      </w:pPr>
      <w:r>
        <w:t>Serie temporal de M7.1, M8.1 y M5.2 para visualizar el impacto de la implantación de SSVC a lo largo del tiempo. [web:16][web:20][web:25][web:33]</w:t>
      </w:r>
    </w:p>
    <w:p>
      <w:r>
        <w:t>Esta plantilla no obliga a ningún regulador a admirar Excel, pero al menos le dará menos motivos para fruncir el ceño.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