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para cálculo de IGM y ROI en gestión de vulnerabilidades basada en SSVC</w:t>
      </w:r>
    </w:p>
    <w:p>
      <w:r>
        <w:t>Esta plantilla describe las hojas, campos y fórmulas recomendadas para implementar en Excel una medición cuantitativa del Indicador Global de Madurez (IGM) y del Retorno de la Inversión (ROI) del programa de gestión de vulnerabilidades alineado con SSVC. [web:27][web:32][web:16][web:20][web:33]</w:t>
      </w:r>
    </w:p>
    <w:p>
      <w:pPr>
        <w:pStyle w:val="Heading2"/>
        <w:keepNext/>
        <w:keepLines/>
      </w:pPr>
      <w:r>
        <w:rPr>
          <w:color w:val="0066CC"/>
        </w:rPr>
        <w:t>1. Estructura general del libro</w:t>
      </w:r>
    </w:p>
    <w:p>
      <w:r>
        <w:t>Se recomiendan al menos cinco hojas:</w:t>
      </w:r>
    </w:p>
    <w:p>
      <w:pPr>
        <w:pStyle w:val="ListNumber"/>
        <w:keepLines w:val="1"/>
        <w:keepNext w:val="1"/>
        <w:widowControl w:val="1"/>
      </w:pPr>
      <w:r>
        <w:t xml:space="preserve">Encuesta – Captura codificada de las respuestas.  </w:t>
      </w:r>
    </w:p>
    <w:p>
      <w:pPr>
        <w:pStyle w:val="ListNumber"/>
        <w:keepLines w:val="1"/>
        <w:keepNext w:val="1"/>
        <w:widowControl w:val="1"/>
      </w:pPr>
      <w:r>
        <w:t xml:space="preserve">Ponderaciones – Peso asignado a cada bloque de preguntas.  </w:t>
      </w:r>
    </w:p>
    <w:p>
      <w:pPr>
        <w:pStyle w:val="ListNumber"/>
        <w:keepLines w:val="1"/>
        <w:keepNext w:val="1"/>
        <w:widowControl w:val="1"/>
      </w:pPr>
      <w:r>
        <w:t xml:space="preserve">IGM – Cálculo de indicadores por bloque y global.  </w:t>
      </w:r>
    </w:p>
    <w:p>
      <w:pPr>
        <w:pStyle w:val="ListNumber"/>
        <w:keepLines w:val="1"/>
        <w:keepNext w:val="1"/>
        <w:widowControl w:val="1"/>
      </w:pPr>
      <w:r>
        <w:t xml:space="preserve">ROI – Estimaciones de costes, beneficios y ratios.  </w:t>
      </w:r>
    </w:p>
    <w:p>
      <w:pPr>
        <w:pStyle w:val="ListNumber"/>
        <w:keepLines w:val="1"/>
        <w:widowControl w:val="1"/>
      </w:pPr>
      <w:r>
        <w:t>Dashboard – Visualizaciones y tablas resumidas.</w:t>
      </w:r>
    </w:p>
    <w:p>
      <w:pPr>
        <w:pStyle w:val="Heading2"/>
        <w:keepNext/>
        <w:keepLines/>
      </w:pPr>
      <w:r>
        <w:rPr>
          <w:color w:val="0066CC"/>
        </w:rPr>
        <w:t>2. Hoja “Encuesta”</w:t>
      </w:r>
    </w:p>
    <w:p>
      <w:r>
        <w:t>Cada fila representa una organización (o unidad). Cada pregunta de la encuesta se codifica como un valor numérico (por ejemplo, 0–3).</w:t>
      </w:r>
    </w:p>
    <w:p>
      <w:r>
        <w:t>Campos recomendados:</w:t>
      </w:r>
    </w:p>
    <w:p>
      <w:pPr>
        <w:pStyle w:val="ListBullet"/>
        <w:keepLines w:val="1"/>
        <w:keepNext w:val="1"/>
        <w:widowControl w:val="1"/>
      </w:pPr>
      <w:r>
        <w:t xml:space="preserve">Org_ID – Identificador de la organización.  </w:t>
      </w:r>
    </w:p>
    <w:p>
      <w:pPr>
        <w:pStyle w:val="ListBullet"/>
        <w:keepLines w:val="1"/>
        <w:keepNext w:val="1"/>
        <w:widowControl w:val="1"/>
      </w:pPr>
      <w:r>
        <w:t xml:space="preserve">Sector, Tamaño, Ámbito – Variables demográficas.  </w:t>
      </w:r>
    </w:p>
    <w:p>
      <w:pPr>
        <w:pStyle w:val="ListBullet"/>
        <w:keepLines w:val="1"/>
        <w:widowControl w:val="1"/>
      </w:pPr>
      <w:r>
        <w:t>Una columna por pregunta: P1_1, P1_2, …, P10_5.</w:t>
      </w:r>
    </w:p>
    <w:p>
      <w:r>
        <w:t>Ejemplo de codificación (escala 0–3, de peor a mejor):</w:t>
      </w:r>
    </w:p>
    <w:p>
      <w:pPr>
        <w:pStyle w:val="ListBullet"/>
        <w:keepLines w:val="1"/>
        <w:keepNext w:val="1"/>
        <w:widowControl w:val="1"/>
      </w:pPr>
      <w:r>
        <w:t xml:space="preserve">P1_1: “¿Existe política formal?”  </w:t>
      </w:r>
    </w:p>
    <w:p>
      <w:pPr>
        <w:pStyle w:val="ListBullet"/>
        <w:keepLines w:val="1"/>
        <w:keepNext w:val="1"/>
        <w:widowControl w:val="1"/>
      </w:pPr>
      <w:r>
        <w:t xml:space="preserve">No existe → 0  </w:t>
      </w:r>
    </w:p>
    <w:p>
      <w:pPr>
        <w:pStyle w:val="ListBullet"/>
        <w:keepLines w:val="1"/>
        <w:keepNext w:val="1"/>
        <w:widowControl w:val="1"/>
      </w:pPr>
      <w:r>
        <w:t xml:space="preserve">Existe de facto → 1  </w:t>
      </w:r>
    </w:p>
    <w:p>
      <w:pPr>
        <w:pStyle w:val="ListBullet"/>
        <w:keepLines w:val="1"/>
        <w:keepNext w:val="1"/>
        <w:widowControl w:val="1"/>
      </w:pPr>
      <w:r>
        <w:t xml:space="preserve">Formal pero desactualizada → 2  </w:t>
      </w:r>
    </w:p>
    <w:p>
      <w:pPr>
        <w:pStyle w:val="ListBullet"/>
        <w:keepLines w:val="1"/>
        <w:widowControl w:val="1"/>
      </w:pPr>
      <w:r>
        <w:t xml:space="preserve">Formal y revisada → 3  </w:t>
      </w:r>
    </w:p>
    <w:p>
      <w:r>
        <w:t>La codificación puede documentarse en una hoja adicional si se desea.</w:t>
      </w:r>
    </w:p>
    <w:p>
      <w:pPr>
        <w:pStyle w:val="Heading2"/>
        <w:keepNext/>
        <w:keepLines/>
      </w:pPr>
      <w:r>
        <w:rPr>
          <w:color w:val="0066CC"/>
        </w:rPr>
        <w:t>3. Hoja “Ponderaciones”</w:t>
      </w:r>
    </w:p>
    <w:p>
      <w:r>
        <w:t>Define el peso de cada pregunta o, más simple, de cada bloque.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Bloque – 1, 2, 3, …, 10.  </w:t>
      </w:r>
    </w:p>
    <w:p>
      <w:pPr>
        <w:pStyle w:val="ListBullet"/>
        <w:keepLines w:val="1"/>
        <w:keepNext w:val="1"/>
        <w:widowControl w:val="1"/>
      </w:pPr>
      <w:r>
        <w:t xml:space="preserve">Peso_Bloque – valor de 0 a 1 que refleja su importancia relativa (la suma de todos debe ser 1).  </w:t>
      </w:r>
    </w:p>
    <w:p>
      <w:pPr>
        <w:pStyle w:val="ListBullet"/>
        <w:keepLines w:val="1"/>
        <w:widowControl w:val="1"/>
      </w:pPr>
      <w:r>
        <w:t>Opcional: Peso_Pregunta por cada pregunta dentro del bloque.</w:t>
      </w:r>
    </w:p>
    <w:p>
      <w:r>
        <w:t>Ejemplo:</w:t>
      </w:r>
    </w:p>
    <w:p>
      <w:pPr>
        <w:pStyle w:val="ListBullet"/>
        <w:keepLines w:val="1"/>
        <w:keepNext w:val="1"/>
        <w:widowControl w:val="1"/>
      </w:pPr>
      <w:r>
        <w:t xml:space="preserve">Gobernanza (Bloque 1): 0,15  </w:t>
      </w:r>
    </w:p>
    <w:p>
      <w:pPr>
        <w:pStyle w:val="ListBullet"/>
        <w:keepLines w:val="1"/>
        <w:keepNext w:val="1"/>
        <w:widowControl w:val="1"/>
      </w:pPr>
      <w:r>
        <w:t xml:space="preserve">Inventario (Bloque 2): 0,10  </w:t>
      </w:r>
    </w:p>
    <w:p>
      <w:pPr>
        <w:pStyle w:val="ListBullet"/>
        <w:keepLines w:val="1"/>
        <w:keepNext w:val="1"/>
        <w:widowControl w:val="1"/>
      </w:pPr>
      <w:r>
        <w:t xml:space="preserve">Detección (Bloque 3): 0,10  </w:t>
      </w:r>
    </w:p>
    <w:p>
      <w:pPr>
        <w:pStyle w:val="ListBullet"/>
        <w:keepLines w:val="1"/>
        <w:keepNext w:val="1"/>
        <w:widowControl w:val="1"/>
      </w:pPr>
      <w:r>
        <w:t xml:space="preserve">SSVC (Bloque 4): 0,15  </w:t>
      </w:r>
    </w:p>
    <w:p>
      <w:pPr>
        <w:pStyle w:val="ListBullet"/>
        <w:keepLines w:val="1"/>
        <w:keepNext w:val="1"/>
        <w:widowControl w:val="1"/>
      </w:pPr>
      <w:r>
        <w:t xml:space="preserve">Puntos de decisión (Bloque 5): 0,15  </w:t>
      </w:r>
    </w:p>
    <w:p>
      <w:pPr>
        <w:pStyle w:val="ListBullet"/>
        <w:keepLines w:val="1"/>
        <w:keepNext w:val="1"/>
        <w:widowControl w:val="1"/>
      </w:pPr>
      <w:r>
        <w:t xml:space="preserve">Acción/SLA (Bloque 6): 0,10  </w:t>
      </w:r>
    </w:p>
    <w:p>
      <w:pPr>
        <w:pStyle w:val="ListBullet"/>
        <w:keepLines w:val="1"/>
        <w:keepNext w:val="1"/>
        <w:widowControl w:val="1"/>
      </w:pPr>
      <w:r>
        <w:t xml:space="preserve">Métricas/ROI (Bloque 7): 0,10  </w:t>
      </w:r>
    </w:p>
    <w:p>
      <w:pPr>
        <w:pStyle w:val="ListBullet"/>
        <w:keepLines w:val="1"/>
        <w:keepNext w:val="1"/>
        <w:widowControl w:val="1"/>
      </w:pPr>
      <w:r>
        <w:t xml:space="preserve">NIS2 (Bloque 8): 0,10  </w:t>
      </w:r>
    </w:p>
    <w:p>
      <w:pPr>
        <w:pStyle w:val="ListBullet"/>
        <w:keepLines w:val="1"/>
        <w:keepNext w:val="1"/>
        <w:widowControl w:val="1"/>
      </w:pPr>
      <w:r>
        <w:t xml:space="preserve">Automatización (Bloque 9): 0,03  </w:t>
      </w:r>
    </w:p>
    <w:p>
      <w:pPr>
        <w:pStyle w:val="ListBullet"/>
        <w:keepLines w:val="1"/>
        <w:widowControl w:val="1"/>
      </w:pPr>
      <w:r>
        <w:t xml:space="preserve">Cultura (Bloque 10): 0,02  </w:t>
      </w:r>
    </w:p>
    <w:p>
      <w:r>
        <w:t>Las ponderaciones pueden adaptarse según prioridades regulatorias o estratégicas. [web:33][web:39][web:27]</w:t>
      </w:r>
    </w:p>
    <w:p>
      <w:pPr>
        <w:pStyle w:val="Heading2"/>
        <w:keepNext/>
        <w:keepLines/>
      </w:pPr>
      <w:r>
        <w:rPr>
          <w:color w:val="0066CC"/>
        </w:rPr>
        <w:t>4. Hoja “IGM”</w:t>
      </w:r>
    </w:p>
    <w:p>
      <w:r>
        <w:t>Objetivo: transformar las respuestas en un indicador de 0–100 por bloque y un IGM global.</w:t>
      </w:r>
    </w:p>
    <w:p>
      <w:pPr>
        <w:pStyle w:val="Heading3"/>
        <w:keepNext/>
        <w:keepLines/>
      </w:pPr>
      <w:r>
        <w:t>4.1. Cálculo de puntuación por bloque</w:t>
      </w:r>
    </w:p>
    <w:p>
      <w:r>
        <w:t>Para cada bloque:</w:t>
      </w:r>
    </w:p>
    <w:p>
      <w:pPr>
        <w:pStyle w:val="ListNumber"/>
        <w:keepLines w:val="1"/>
        <w:keepNext w:val="1"/>
        <w:widowControl w:val="1"/>
      </w:pPr>
      <w:r>
        <w:t xml:space="preserve">Sumar la puntuación de sus preguntas.  </w:t>
      </w:r>
    </w:p>
    <w:p>
      <w:pPr>
        <w:pStyle w:val="ListNumber"/>
        <w:keepLines w:val="1"/>
        <w:keepNext w:val="1"/>
        <w:widowControl w:val="1"/>
      </w:pPr>
      <w:r>
        <w:t xml:space="preserve">Dividir por la puntuación máxima posible del bloque.  </w:t>
      </w:r>
    </w:p>
    <w:p>
      <w:pPr>
        <w:pStyle w:val="ListNumber"/>
        <w:keepLines w:val="1"/>
        <w:widowControl w:val="1"/>
      </w:pPr>
      <w:r>
        <w:t>Multiplicar por 100.</w:t>
      </w:r>
    </w:p>
    <w:p>
      <w:r>
        <w:t>Ejemplo (en Excel):</w:t>
      </w:r>
    </w:p>
    <w:p>
      <w:pPr>
        <w:pStyle w:val="ListBullet"/>
        <w:keepLines w:val="1"/>
        <w:keepNext w:val="1"/>
        <w:widowControl w:val="1"/>
      </w:pPr>
      <w:r>
        <w:t xml:space="preserve">Supongamos bloque 1 abarca P1_1:P1_5 (cinco preguntas, escala 0–3 → máximo 15).  </w:t>
      </w:r>
    </w:p>
    <w:p>
      <w:pPr>
        <w:pStyle w:val="ListBullet"/>
        <w:keepLines w:val="1"/>
        <w:widowControl w:val="1"/>
      </w:pPr>
      <w:r>
        <w:t>Para la organización en fila 2:</w:t>
      </w:r>
    </w:p>
    <w:p>
      <w:r>
        <w:rPr>
          <w:rFonts w:ascii="Courier New" w:hAnsi="Courier New"/>
          <w:sz w:val="18"/>
        </w:rPr>
        <w:t>=SUMA(Encuesta!C2:G2)/15*100</w:t>
      </w:r>
    </w:p>
    <w:p>
      <w:r>
        <w:t xml:space="preserve">Resultado → </w:t>
      </w:r>
      <w:r>
        <w:rPr>
          <w:rFonts w:ascii="Courier New" w:hAnsi="Courier New"/>
          <w:sz w:val="18"/>
        </w:rPr>
        <w:t>IGM_B1</w:t>
      </w:r>
      <w:r>
        <w:t>.</w:t>
      </w:r>
    </w:p>
    <w:p>
      <w:pPr>
        <w:pStyle w:val="Heading3"/>
        <w:keepNext/>
        <w:keepLines/>
      </w:pPr>
      <w:r>
        <w:t>4.2. Cálculo de IGM global</w:t>
      </w:r>
    </w:p>
    <w:p>
      <w:r>
        <w:t>El IGM global es una media ponderada de los IGM de cada bloque:</w:t>
      </w:r>
    </w:p>
    <w:p>
      <w:r>
        <w:rPr>
          <w:rFonts w:ascii="Courier New" w:hAnsi="Courier New"/>
          <w:sz w:val="18"/>
        </w:rPr>
        <w:t>IGM_Global = SUMPRODUCTO(IGM_Bloques ; Peso_Bloques)</w:t>
      </w:r>
    </w:p>
    <w:p>
      <w:r>
        <w:t>En Excel:</w:t>
      </w:r>
    </w:p>
    <w:p>
      <w:r>
        <w:rPr>
          <w:rFonts w:ascii="Courier New" w:hAnsi="Courier New"/>
          <w:sz w:val="18"/>
        </w:rPr>
        <w:t>=SUMAPRODUCTO(IGM!B2:K2 ; Ponderaciones!B2:K2)</w:t>
      </w:r>
    </w:p>
    <w:p>
      <w:r>
        <w:t xml:space="preserve">donde </w:t>
      </w:r>
      <w:r>
        <w:rPr>
          <w:rFonts w:ascii="Courier New" w:hAnsi="Courier New"/>
          <w:sz w:val="18"/>
        </w:rPr>
        <w:t>B2:K2</w:t>
      </w:r>
      <w:r>
        <w:t xml:space="preserve"> son los valores 0–100 de cada bloque y </w:t>
      </w:r>
      <w:r>
        <w:rPr>
          <w:rFonts w:ascii="Courier New" w:hAnsi="Courier New"/>
          <w:sz w:val="18"/>
        </w:rPr>
        <w:t>Ponderaciones!B2:K2</w:t>
      </w:r>
      <w:r>
        <w:t xml:space="preserve"> son los pesos.</w:t>
      </w:r>
    </w:p>
    <w:p>
      <w:pPr>
        <w:pStyle w:val="Heading3"/>
        <w:keepNext/>
        <w:keepLines/>
      </w:pPr>
      <w:r>
        <w:t>4.3. Niveles de madurez</w:t>
      </w:r>
    </w:p>
    <w:p>
      <w:r>
        <w:t>Se recomienda establecer bandas de interpretación:</w:t>
      </w:r>
    </w:p>
    <w:p>
      <w:pPr>
        <w:pStyle w:val="ListBullet"/>
        <w:keepLines w:val="1"/>
        <w:keepNext w:val="1"/>
        <w:widowControl w:val="1"/>
      </w:pPr>
      <w:r>
        <w:t xml:space="preserve">0–25: Inicial / Reactivo.  </w:t>
      </w:r>
    </w:p>
    <w:p>
      <w:pPr>
        <w:pStyle w:val="ListBullet"/>
        <w:keepLines w:val="1"/>
        <w:keepNext w:val="1"/>
        <w:widowControl w:val="1"/>
      </w:pPr>
      <w:r>
        <w:t xml:space="preserve">26–50: Básico / Fragmentado.  </w:t>
      </w:r>
    </w:p>
    <w:p>
      <w:pPr>
        <w:pStyle w:val="ListBullet"/>
        <w:keepLines w:val="1"/>
        <w:keepNext w:val="1"/>
        <w:widowControl w:val="1"/>
      </w:pPr>
      <w:r>
        <w:t xml:space="preserve">51–75: Gestionado / Integrado.  </w:t>
      </w:r>
    </w:p>
    <w:p>
      <w:pPr>
        <w:pStyle w:val="ListBullet"/>
        <w:keepLines w:val="1"/>
        <w:widowControl w:val="1"/>
      </w:pPr>
      <w:r>
        <w:t>76–100: Optimizado / Proactivo.</w:t>
      </w:r>
    </w:p>
    <w:p>
      <w:r>
        <w:t>Estas bandas se pueden mostrar mediante formato condicional, iconos o gráficos de radar.</w:t>
      </w:r>
    </w:p>
    <w:p>
      <w:pPr>
        <w:pStyle w:val="Heading2"/>
        <w:keepNext/>
        <w:keepLines/>
      </w:pPr>
      <w:r>
        <w:rPr>
          <w:color w:val="0066CC"/>
        </w:rPr>
        <w:t>5. Hoja “ROI”</w:t>
      </w:r>
    </w:p>
    <w:p>
      <w:r>
        <w:t>El ROI en gestión de vulnerabilidades no es una exactitud matemática, pero sí se pueden establecer aproximaciones razonables. [web:27][web:32][web:41][web:38]</w:t>
      </w:r>
    </w:p>
    <w:p>
      <w:pPr>
        <w:pStyle w:val="Heading3"/>
        <w:keepNext/>
        <w:keepLines/>
      </w:pPr>
      <w:r>
        <w:t>5.1. Variables de entrada</w:t>
      </w:r>
    </w:p>
    <w:p>
      <w:pPr>
        <w:pStyle w:val="ListBullet"/>
        <w:keepLines w:val="1"/>
        <w:keepNext w:val="1"/>
        <w:widowControl w:val="1"/>
      </w:pPr>
      <w:r>
        <w:t xml:space="preserve">Coste_Herramientas – Licencias de escáneres, plataformas SSVC, etc.  </w:t>
      </w:r>
    </w:p>
    <w:p>
      <w:pPr>
        <w:pStyle w:val="ListBullet"/>
        <w:keepLines w:val="1"/>
        <w:keepNext w:val="1"/>
        <w:widowControl w:val="1"/>
      </w:pPr>
      <w:r>
        <w:t xml:space="preserve">Coste_Personal – Tiempo dedicado por el equipo (en €).  </w:t>
      </w:r>
    </w:p>
    <w:p>
      <w:pPr>
        <w:pStyle w:val="ListBullet"/>
        <w:keepLines w:val="1"/>
        <w:keepNext w:val="1"/>
        <w:widowControl w:val="1"/>
      </w:pPr>
      <w:r>
        <w:t xml:space="preserve">Coste_Proyectos – Implementaciones específicas (segmentación, automatización).  </w:t>
      </w:r>
    </w:p>
    <w:p>
      <w:pPr>
        <w:pStyle w:val="ListBullet"/>
        <w:keepLines w:val="1"/>
        <w:keepNext w:val="1"/>
        <w:widowControl w:val="1"/>
      </w:pPr>
      <w:r>
        <w:t xml:space="preserve">Coste_Incidentes_Antes – Estimación anual de pérdidas por incidentes relacionados con vulnerabilidades, antes de las mejoras.  </w:t>
      </w:r>
    </w:p>
    <w:p>
      <w:pPr>
        <w:pStyle w:val="ListBullet"/>
        <w:keepLines w:val="1"/>
        <w:keepNext w:val="1"/>
        <w:widowControl w:val="1"/>
      </w:pPr>
      <w:r>
        <w:t xml:space="preserve">Coste_Incidentes_Despues – Estimación tras mejoras.  </w:t>
      </w:r>
    </w:p>
    <w:p>
      <w:pPr>
        <w:pStyle w:val="ListBullet"/>
        <w:keepLines w:val="1"/>
        <w:keepNext w:val="1"/>
        <w:widowControl w:val="1"/>
      </w:pPr>
      <w:r>
        <w:t xml:space="preserve">Multas_Ahorro – Sanciones evitadas por cumplimiento (NIS2, sectoriales). [web:33][web:39]  </w:t>
      </w:r>
    </w:p>
    <w:p>
      <w:pPr>
        <w:pStyle w:val="ListBullet"/>
        <w:keepLines w:val="1"/>
        <w:widowControl w:val="1"/>
      </w:pPr>
      <w:r>
        <w:t>Otros_Beneficios – Ahorros operativos, reducción de tiempo de parada, etc.</w:t>
      </w:r>
    </w:p>
    <w:p>
      <w:pPr>
        <w:pStyle w:val="Heading3"/>
        <w:keepNext/>
        <w:keepLines/>
      </w:pPr>
      <w:r>
        <w:t>5.2. Fórmulas sugeridas</w:t>
      </w:r>
    </w:p>
    <w:p>
      <w:pPr>
        <w:pStyle w:val="ListBullet"/>
        <w:keepLines w:val="1"/>
        <w:keepNext w:val="1"/>
        <w:widowControl w:val="1"/>
      </w:pPr>
      <w:r>
        <w:t xml:space="preserve">Coste_Total_Programa = Coste_Herramientas + Coste_Personal + Coste_Proyectos </w:t>
      </w:r>
    </w:p>
    <w:p>
      <w:pPr>
        <w:pStyle w:val="ListBullet"/>
        <w:keepLines w:val="1"/>
        <w:keepNext w:val="1"/>
        <w:widowControl w:val="1"/>
      </w:pPr>
      <w:r>
        <w:t xml:space="preserve">Beneficio_Anual_Estimado = (Coste_Incidentes_Antes - Coste_Incidentes_Despues) + Multas_Ahorro + Otros_Beneficios </w:t>
      </w:r>
    </w:p>
    <w:p>
      <w:pPr>
        <w:pStyle w:val="ListBullet"/>
        <w:keepLines w:val="1"/>
        <w:widowControl w:val="1"/>
      </w:pPr>
      <w:r>
        <w:t>ROI = (Beneficio_Anual_Estimado - Coste_Total_Programa) / Coste_Total_Programa</w:t>
      </w:r>
    </w:p>
    <w:p>
      <w:r>
        <w:t>Se pueden incluir horizontes de 3–5 años con VAN (valor actual neto) si se desea mayor sofisticación.</w:t>
      </w:r>
    </w:p>
    <w:p>
      <w:pPr>
        <w:pStyle w:val="Heading3"/>
        <w:keepNext/>
        <w:keepLines/>
      </w:pPr>
      <w:r>
        <w:t>5.3. Relación con IGM</w:t>
      </w:r>
    </w:p>
    <w:p>
      <w:r>
        <w:t>Puede explorarse la correlación entre IGM y reducción de incidentes:</w:t>
      </w:r>
    </w:p>
    <w:p>
      <w:pPr>
        <w:pStyle w:val="ListBullet"/>
        <w:keepLines w:val="1"/>
        <w:keepNext w:val="1"/>
        <w:widowControl w:val="1"/>
      </w:pPr>
      <w:r>
        <w:t xml:space="preserve">Clasificar organizaciones por cuartiles de IGM.  </w:t>
      </w:r>
    </w:p>
    <w:p>
      <w:pPr>
        <w:pStyle w:val="ListBullet"/>
        <w:keepLines w:val="1"/>
        <w:keepNext w:val="1"/>
        <w:widowControl w:val="1"/>
      </w:pPr>
      <w:r>
        <w:t xml:space="preserve">Calcular media de Coste_Incidentes_Despues en cada cuartil.  </w:t>
      </w:r>
    </w:p>
    <w:p>
      <w:pPr>
        <w:pStyle w:val="ListBullet"/>
        <w:keepLines w:val="1"/>
        <w:widowControl w:val="1"/>
      </w:pPr>
      <w:r>
        <w:t>Visualizar tendencia: se espera, idealmente, que mayor IGM correlacione con menor coste de incidentes. [web:27][web:32][web:16]</w:t>
      </w:r>
    </w:p>
    <w:p>
      <w:pPr>
        <w:pStyle w:val="Heading2"/>
        <w:keepNext/>
        <w:keepLines/>
      </w:pPr>
      <w:r>
        <w:rPr>
          <w:color w:val="0066CC"/>
        </w:rPr>
        <w:t>6. Hoja “Dashboard”</w:t>
      </w:r>
    </w:p>
    <w:p>
      <w:r>
        <w:t>Elementos sugeridos:</w:t>
      </w:r>
    </w:p>
    <w:p>
      <w:pPr>
        <w:pStyle w:val="ListBullet"/>
        <w:keepLines w:val="1"/>
        <w:keepNext w:val="1"/>
        <w:widowControl w:val="1"/>
      </w:pPr>
      <w:r>
        <w:t xml:space="preserve">Gráfico radar de IGM por bloque.  </w:t>
      </w:r>
    </w:p>
    <w:p>
      <w:pPr>
        <w:pStyle w:val="ListBullet"/>
        <w:keepLines w:val="1"/>
        <w:keepNext w:val="1"/>
        <w:widowControl w:val="1"/>
      </w:pPr>
      <w:r>
        <w:t xml:space="preserve">Gráfico de barras comparando IGM entre organizaciones o unidades.  </w:t>
      </w:r>
    </w:p>
    <w:p>
      <w:pPr>
        <w:pStyle w:val="ListBullet"/>
        <w:keepLines w:val="1"/>
        <w:keepNext w:val="1"/>
        <w:widowControl w:val="1"/>
      </w:pPr>
      <w:r>
        <w:t xml:space="preserve">Gráfico de dispersión IGM vs. coste de incidentes.  </w:t>
      </w:r>
    </w:p>
    <w:p>
      <w:pPr>
        <w:pStyle w:val="ListBullet"/>
        <w:keepLines w:val="1"/>
        <w:widowControl w:val="1"/>
      </w:pPr>
      <w:r>
        <w:t>Indicadores clave: IGM global, MTTR medio, % vulnerabilidades críticas en plazo, ROI estimado.</w:t>
      </w:r>
    </w:p>
    <w:p>
      <w:r>
        <w:t>El dashboard permite explicar, en una diapositiva, por qué la organización no solo parcha, sino que prioriza y mejora de manera medible. [web:32][web:27][web:33]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