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(tipo PowerPoint) – Programa de vulnerabilidades y SSVC</w:t>
      </w:r>
    </w:p>
    <w:p>
      <w:r>
        <w:t>Estructura sugerida para presentar a Alta Dirección o Consejo los resultados de la encuesta, el IGM y las recomendaciones. [web:33][web:39][web:27][web:19][web:6]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la gestión de vulnerabilidades y priorización basada en SSVC”  </w:t>
      </w:r>
    </w:p>
    <w:p>
      <w:pPr>
        <w:pStyle w:val="ListBullet"/>
        <w:keepLines w:val="1"/>
        <w:keepNext w:val="1"/>
        <w:widowControl w:val="1"/>
      </w:pPr>
      <w:r>
        <w:t xml:space="preserve">Subtítulo: Organización, fecha, responsable.  </w:t>
      </w:r>
    </w:p>
    <w:p>
      <w:pPr>
        <w:pStyle w:val="ListBullet"/>
        <w:keepLines w:val="1"/>
        <w:widowControl w:val="1"/>
      </w:pPr>
      <w:r>
        <w:t>Nota al pie: Referencia a la encuesta interna y al marco SSVC.</w:t>
      </w:r>
    </w:p>
    <w:p>
      <w:pPr>
        <w:pStyle w:val="Heading2"/>
        <w:keepNext/>
        <w:keepLines/>
      </w:pPr>
      <w:r>
        <w:rPr>
          <w:color w:val="0066CC"/>
        </w:rPr>
        <w:t>Diapositiva 2 – Contexto y propósito</w:t>
      </w:r>
    </w:p>
    <w:p>
      <w:pPr>
        <w:pStyle w:val="ListBullet"/>
        <w:keepLines w:val="1"/>
        <w:keepNext w:val="1"/>
        <w:widowControl w:val="1"/>
      </w:pPr>
      <w:r>
        <w:t xml:space="preserve">Breve explicación del aumento de vulnerabilidades y limitaciones de enfoques puramente basados en CVSS. [web:35][web:38]  </w:t>
      </w:r>
    </w:p>
    <w:p>
      <w:pPr>
        <w:pStyle w:val="ListBullet"/>
        <w:keepLines w:val="1"/>
        <w:keepNext w:val="1"/>
        <w:widowControl w:val="1"/>
      </w:pPr>
      <w:r>
        <w:t xml:space="preserve">Introducción a SSVC, KEV, Vulnrichment y EPSS como respuesta moderna al problema. [web:24][web:19][web:22][web:25][web:23][web:20]  </w:t>
      </w:r>
    </w:p>
    <w:p>
      <w:pPr>
        <w:pStyle w:val="ListBullet"/>
        <w:keepLines w:val="1"/>
        <w:widowControl w:val="1"/>
      </w:pPr>
      <w:r>
        <w:t>Objetivo de la presentación: mostrar situación actual, madurez (IGM), riesgos y plan de mejora.</w:t>
      </w:r>
    </w:p>
    <w:p>
      <w:pPr>
        <w:pStyle w:val="Heading2"/>
        <w:keepNext/>
        <w:keepLines/>
      </w:pPr>
      <w:r>
        <w:rPr>
          <w:color w:val="0066CC"/>
        </w:rPr>
        <w:t>Diapositiva 3 – Marco de referencia</w:t>
      </w:r>
    </w:p>
    <w:p>
      <w:pPr>
        <w:pStyle w:val="ListBullet"/>
        <w:keepLines w:val="1"/>
        <w:keepNext w:val="1"/>
        <w:widowControl w:val="1"/>
      </w:pPr>
      <w:r>
        <w:t xml:space="preserve">Esquema simplificado del árbol de decisión SSVC (explotación, impacto técnico, impacto en misión, exposición, automatización). [web:24][web:30][web:37]  </w:t>
      </w:r>
    </w:p>
    <w:p>
      <w:pPr>
        <w:pStyle w:val="ListBullet"/>
        <w:keepLines w:val="1"/>
        <w:keepNext w:val="1"/>
        <w:widowControl w:val="1"/>
      </w:pPr>
      <w:r>
        <w:t xml:space="preserve">Mención a NIS2 y expectativas de gestión de vulnerabilidades continua y basada en riesgo. [web:33][web:39][web:36]  </w:t>
      </w:r>
    </w:p>
    <w:p>
      <w:pPr>
        <w:pStyle w:val="ListBullet"/>
        <w:keepLines w:val="1"/>
        <w:widowControl w:val="1"/>
      </w:pPr>
      <w:r>
        <w:t>Posicionamiento de la organización frente a estas referencias (alto nivel).</w:t>
      </w:r>
    </w:p>
    <w:p>
      <w:pPr>
        <w:pStyle w:val="Heading2"/>
        <w:keepNext/>
        <w:keepLines/>
      </w:pPr>
      <w:r>
        <w:rPr>
          <w:color w:val="0066CC"/>
        </w:rPr>
        <w:t>Diapositiva 4 – Resultados globales de la encuesta</w:t>
      </w:r>
    </w:p>
    <w:p>
      <w:pPr>
        <w:pStyle w:val="ListBullet"/>
        <w:keepLines w:val="1"/>
        <w:keepNext w:val="1"/>
        <w:widowControl w:val="1"/>
      </w:pPr>
      <w:r>
        <w:t xml:space="preserve">Gráfico radar con IGM por bloques (gobernanza, inventario, detección, SSVC, métricas, NIS2, etc.).  </w:t>
      </w:r>
    </w:p>
    <w:p>
      <w:pPr>
        <w:pStyle w:val="ListBullet"/>
        <w:keepLines w:val="1"/>
        <w:widowControl w:val="1"/>
      </w:pPr>
      <w:r>
        <w:t>Comentario breve sobre fortalezas y debilidades destacadas. [web:27][web:32]</w:t>
      </w:r>
    </w:p>
    <w:p>
      <w:pPr>
        <w:pStyle w:val="Heading2"/>
        <w:keepNext/>
        <w:keepLines/>
      </w:pPr>
      <w:r>
        <w:rPr>
          <w:color w:val="0066CC"/>
        </w:rPr>
        <w:t>Diapositiva 5 – Análisis de gobernanza y cumplimiento</w:t>
      </w:r>
    </w:p>
    <w:p>
      <w:pPr>
        <w:pStyle w:val="ListBullet"/>
        <w:keepLines w:val="1"/>
        <w:keepNext w:val="1"/>
        <w:widowControl w:val="1"/>
      </w:pPr>
      <w:r>
        <w:t xml:space="preserve">Resumen de resultados en gobernanza (políticas, responsabilidades, reporting). [web:33][web:39]  </w:t>
      </w:r>
    </w:p>
    <w:p>
      <w:pPr>
        <w:pStyle w:val="ListBullet"/>
        <w:keepLines w:val="1"/>
        <w:keepNext w:val="1"/>
        <w:widowControl w:val="1"/>
      </w:pPr>
      <w:r>
        <w:t xml:space="preserve">Resumen de preparación para NIS2 (procesos, evidencias, SLA, reporting). [web:33][web:36]  </w:t>
      </w:r>
    </w:p>
    <w:p>
      <w:pPr>
        <w:pStyle w:val="ListBullet"/>
        <w:keepLines w:val="1"/>
        <w:widowControl w:val="1"/>
      </w:pPr>
      <w:r>
        <w:t>Riesgos asociados a brechas en estos ámbitos (sanciones, reputación, continuidad).</w:t>
      </w:r>
    </w:p>
    <w:p>
      <w:pPr>
        <w:pStyle w:val="Heading2"/>
        <w:keepNext/>
        <w:keepLines/>
      </w:pPr>
      <w:r>
        <w:rPr>
          <w:color w:val="0066CC"/>
        </w:rPr>
        <w:t>Diapositiva 6 – Datos y capacidades técnicas</w:t>
      </w:r>
    </w:p>
    <w:p>
      <w:pPr>
        <w:pStyle w:val="ListBullet"/>
        <w:keepLines w:val="1"/>
        <w:keepNext w:val="1"/>
        <w:widowControl w:val="1"/>
      </w:pPr>
      <w:r>
        <w:t xml:space="preserve">Estado del inventario y correlación con CPE/CVE. [web:19][web:22][web:33]  </w:t>
      </w:r>
    </w:p>
    <w:p>
      <w:pPr>
        <w:pStyle w:val="ListBullet"/>
        <w:keepLines w:val="1"/>
        <w:keepNext w:val="1"/>
        <w:widowControl w:val="1"/>
      </w:pPr>
      <w:r>
        <w:t xml:space="preserve">Nivel de adopción de KEV, Vulnrichment, EPSS y uso de datos de explotación real. [web:19][web:22][web:25][web:20][web:23]  </w:t>
      </w:r>
    </w:p>
    <w:p>
      <w:pPr>
        <w:pStyle w:val="ListBullet"/>
        <w:keepLines w:val="1"/>
        <w:widowControl w:val="1"/>
      </w:pPr>
      <w:r>
        <w:t>Grado de automatización (pipeline escáner → inteligencia → SSVC → ticketing). [web:8][web:18][web:28][web:17]</w:t>
      </w:r>
    </w:p>
    <w:p>
      <w:pPr>
        <w:pStyle w:val="Heading2"/>
        <w:keepNext/>
        <w:keepLines/>
      </w:pPr>
      <w:r>
        <w:rPr>
          <w:color w:val="0066CC"/>
        </w:rPr>
        <w:t>Diapositiva 7 – Métricas clave</w:t>
      </w:r>
    </w:p>
    <w:p>
      <w:pPr>
        <w:pStyle w:val="ListBullet"/>
        <w:keepLines w:val="1"/>
        <w:keepNext w:val="1"/>
        <w:widowControl w:val="1"/>
      </w:pPr>
      <w:r>
        <w:t xml:space="preserve">MTTD, MTTR, porcentaje de vulnerabilidades críticas remediadas en plazo, tamaño y tendencia del backlog. [web:32][web:27][web:35][web:41]  </w:t>
      </w:r>
    </w:p>
    <w:p>
      <w:pPr>
        <w:pStyle w:val="ListBullet"/>
        <w:keepLines w:val="1"/>
        <w:keepNext w:val="1"/>
        <w:widowControl w:val="1"/>
      </w:pPr>
      <w:r>
        <w:t xml:space="preserve">Situación frente a benchmarks sectoriales si están disponibles.  </w:t>
      </w:r>
    </w:p>
    <w:p>
      <w:pPr>
        <w:pStyle w:val="ListBullet"/>
        <w:keepLines w:val="1"/>
        <w:widowControl w:val="1"/>
      </w:pPr>
      <w:r>
        <w:t>Indicador Global de Madurez (IGM) y nivel de madurez (Inicial/Básico/Gestionado/Optimizado).</w:t>
      </w:r>
    </w:p>
    <w:p>
      <w:pPr>
        <w:pStyle w:val="Heading2"/>
        <w:keepNext/>
        <w:keepLines/>
      </w:pPr>
      <w:r>
        <w:rPr>
          <w:color w:val="0066CC"/>
        </w:rPr>
        <w:t>Diapositiva 8 – Incidentes y eficacia de la priorización</w:t>
      </w:r>
    </w:p>
    <w:p>
      <w:pPr>
        <w:pStyle w:val="ListBullet"/>
        <w:keepLines w:val="1"/>
        <w:keepNext w:val="1"/>
        <w:widowControl w:val="1"/>
      </w:pPr>
      <w:r>
        <w:t xml:space="preserve">Datos básicos de incidentes recientes relacionados con vulnerabilidades. [web:27][web:35]  </w:t>
      </w:r>
    </w:p>
    <w:p>
      <w:pPr>
        <w:pStyle w:val="ListBullet"/>
        <w:keepLines w:val="1"/>
        <w:keepNext w:val="1"/>
        <w:widowControl w:val="1"/>
      </w:pPr>
      <w:r>
        <w:t xml:space="preserve">Correlación (si existe) entre decisiones de priorización y origen de incidentes (ejemplos de falsos negativos). [web:16][web:20]  </w:t>
      </w:r>
    </w:p>
    <w:p>
      <w:pPr>
        <w:pStyle w:val="ListBullet"/>
        <w:keepLines w:val="1"/>
        <w:widowControl w:val="1"/>
      </w:pPr>
      <w:r>
        <w:t>Lecciones aprendidas y ajustes previstos en el modelo SSVC/EPSS.</w:t>
      </w:r>
    </w:p>
    <w:p>
      <w:pPr>
        <w:pStyle w:val="Heading2"/>
        <w:keepNext/>
        <w:keepLines/>
      </w:pPr>
      <w:r>
        <w:rPr>
          <w:color w:val="0066CC"/>
        </w:rPr>
        <w:t>Diapositiva 9 – ROI y caso de negocio</w:t>
      </w:r>
    </w:p>
    <w:p>
      <w:pPr>
        <w:pStyle w:val="ListBullet"/>
        <w:keepLines w:val="1"/>
        <w:keepNext w:val="1"/>
        <w:widowControl w:val="1"/>
      </w:pPr>
      <w:r>
        <w:t xml:space="preserve">Resumen de costes del programa de vulnerabilidades (herramientas, personal, proyectos). [web:27][web:32]  </w:t>
      </w:r>
    </w:p>
    <w:p>
      <w:pPr>
        <w:pStyle w:val="ListBullet"/>
        <w:keepLines w:val="1"/>
        <w:keepNext w:val="1"/>
        <w:widowControl w:val="1"/>
      </w:pPr>
      <w:r>
        <w:t xml:space="preserve">Estimación de costes de incidentes evitados, multas potenciales (NIS2) y otros beneficios. [web:33][web:39][web:41]  </w:t>
      </w:r>
    </w:p>
    <w:p>
      <w:pPr>
        <w:pStyle w:val="ListBullet"/>
        <w:keepLines w:val="1"/>
        <w:widowControl w:val="1"/>
      </w:pPr>
      <w:r>
        <w:t>Cálculo simple de ROI y horizonte de recuperación de la inversión.</w:t>
      </w:r>
    </w:p>
    <w:p>
      <w:pPr>
        <w:pStyle w:val="Heading2"/>
        <w:keepNext/>
        <w:keepLines/>
      </w:pPr>
      <w:r>
        <w:rPr>
          <w:color w:val="0066CC"/>
        </w:rPr>
        <w:t>Diapositiva 10 – Hoja de ruta de 12–24 meses</w:t>
      </w:r>
    </w:p>
    <w:p>
      <w:pPr>
        <w:pStyle w:val="ListBullet"/>
        <w:keepLines w:val="1"/>
        <w:keepNext w:val="1"/>
        <w:widowControl w:val="1"/>
      </w:pPr>
      <w:r>
        <w:t xml:space="preserve">3–5 iniciativas prioritarias (por ejemplo, adopción formal de un modelo SSVC, integración de KEV/Vulnrichment, automatización del pipeline, definición de SLA y reporting). [web:19][web:22][web:25][web:6][web:33]  </w:t>
      </w:r>
    </w:p>
    <w:p>
      <w:pPr>
        <w:pStyle w:val="ListBullet"/>
        <w:keepLines w:val="1"/>
        <w:keepNext w:val="1"/>
        <w:widowControl w:val="1"/>
      </w:pPr>
      <w:r>
        <w:t xml:space="preserve">Secuencia temporal, dependencias, hitos clave.  </w:t>
      </w:r>
    </w:p>
    <w:p>
      <w:pPr>
        <w:pStyle w:val="ListBullet"/>
        <w:keepLines w:val="1"/>
        <w:widowControl w:val="1"/>
      </w:pPr>
      <w:r>
        <w:t>Recursos requeridos y riesgos de no actuar.</w:t>
      </w:r>
    </w:p>
    <w:p>
      <w:pPr>
        <w:pStyle w:val="Heading2"/>
        <w:keepNext/>
        <w:keepLines/>
      </w:pPr>
      <w:r>
        <w:rPr>
          <w:color w:val="0066CC"/>
        </w:rPr>
        <w:t>Diapositiva 11 – Conclusiones y decisiones solicitadas</w:t>
      </w:r>
    </w:p>
    <w:p>
      <w:pPr>
        <w:pStyle w:val="ListBullet"/>
        <w:keepLines w:val="1"/>
        <w:keepNext w:val="1"/>
        <w:widowControl w:val="1"/>
      </w:pPr>
      <w:r>
        <w:t xml:space="preserve">Resumen de la situación (“dónde estamos”, “dónde queremos estar”).  </w:t>
      </w:r>
    </w:p>
    <w:p>
      <w:pPr>
        <w:pStyle w:val="ListBullet"/>
        <w:keepLines w:val="1"/>
        <w:keepNext w:val="1"/>
        <w:widowControl w:val="1"/>
      </w:pPr>
      <w:r>
        <w:t xml:space="preserve">Decisiones concretas que se solicitan a la Alta Dirección (aprobación de plan, presupuesto, cambios de gobernanza). [web:33][web:39]  </w:t>
      </w:r>
    </w:p>
    <w:p>
      <w:pPr>
        <w:pStyle w:val="ListBullet"/>
        <w:keepLines w:val="1"/>
        <w:widowControl w:val="1"/>
      </w:pPr>
      <w:r>
        <w:t>Cierre con mensaje claro: priorizar vulnerabilidades de forma inteligente no es opcional; la única duda es cuánto tardaremos en hacerlo bien.</w:t>
      </w:r>
    </w:p>
    <w:p>
      <w:r>
        <w:t>Esta estructura puede adaptarse a entornos más técnicos (añadiendo detalles de arquitectura) o a entornos más regulatorios (añadiendo mapeos específicos a normativas sectoriales).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