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Indicadores SSVC GQM + PRAGMATIC</w:t>
      </w:r>
    </w:p>
    <w:p>
      <w:r>
        <w:t>Estructura de presentación para explicar a órganos de decisión (consejo, comités nacionales, reguladores) cómo los indicadores SSVC se conectan con objetivos nacionales y qué nos cuentan sobre la realidad. [web:6][web:19][web:24][web:27][web:33][web:39]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nacionales de priorización de vulnerabilidades (SSVC)”.  </w:t>
      </w:r>
    </w:p>
    <w:p>
      <w:pPr>
        <w:pStyle w:val="ListBullet"/>
        <w:keepLines w:val="1"/>
        <w:keepNext w:val="1"/>
        <w:widowControl w:val="1"/>
      </w:pPr>
      <w:r>
        <w:t xml:space="preserve">Subtítulo: Marco GQM + PRAGMATIC y resultados 20XX.  </w:t>
      </w:r>
    </w:p>
    <w:p>
      <w:pPr>
        <w:pStyle w:val="ListBullet"/>
        <w:keepLines w:val="1"/>
        <w:widowControl w:val="1"/>
      </w:pPr>
      <w:r>
        <w:t>Datos: organismo responsable, fecha, responsables de la presentación.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 xml:space="preserve">Breve recordatorio del problema: volumen de vulnerabilidades, necesidad de priorizar a escala país, papel de SSVC, KEV y EPSS. [web:19][web:24][web:6][web:22][web:25][web:23]  </w:t>
      </w:r>
    </w:p>
    <w:p>
      <w:pPr>
        <w:pStyle w:val="ListBullet"/>
        <w:keepLines w:val="1"/>
        <w:widowControl w:val="1"/>
      </w:pPr>
      <w:r>
        <w:t>Objetivo: mostrar cómo se conectan los objetivos nacionales de resiliencia y cumplimiento NIS2 con métricas técnicas concretas. [web:33][web:39]</w:t>
      </w:r>
    </w:p>
    <w:p>
      <w:pPr>
        <w:pStyle w:val="Heading2"/>
        <w:keepNext/>
        <w:keepLines/>
      </w:pPr>
      <w:r>
        <w:rPr>
          <w:color w:val="0066CC"/>
        </w:rPr>
        <w:t>Diapositiva 3 – GQM en una lámina</w:t>
      </w:r>
    </w:p>
    <w:p>
      <w:pPr>
        <w:pStyle w:val="ListBullet"/>
        <w:keepLines w:val="1"/>
        <w:keepNext w:val="1"/>
        <w:widowControl w:val="1"/>
      </w:pPr>
      <w:r>
        <w:t xml:space="preserve">Esquema: Objetivos (G1–G9) → Preguntas clave → Métricas (M1.1–M9.2).  </w:t>
      </w:r>
    </w:p>
    <w:p>
      <w:pPr>
        <w:pStyle w:val="ListBullet"/>
        <w:keepLines w:val="1"/>
        <w:keepNext w:val="1"/>
        <w:widowControl w:val="1"/>
      </w:pPr>
      <w:r>
        <w:t xml:space="preserve">Ejemplo ilustrativo: G5 (“reducir tiempo de remediación de Act”) → preguntas → MTTR y % en plazo. [web:32][web:33]  </w:t>
      </w:r>
    </w:p>
    <w:p>
      <w:pPr>
        <w:pStyle w:val="ListBullet"/>
        <w:keepLines w:val="1"/>
        <w:widowControl w:val="1"/>
      </w:pPr>
      <w:r>
        <w:t>Mensaje: cada número que verá a continuación responde a una pregunta y a un objetivo explícito.</w:t>
      </w:r>
    </w:p>
    <w:p>
      <w:pPr>
        <w:pStyle w:val="Heading2"/>
        <w:keepNext/>
        <w:keepLines/>
      </w:pPr>
      <w:r>
        <w:rPr>
          <w:color w:val="0066CC"/>
        </w:rPr>
        <w:t>Diapositiva 4 – PRAGMATIC: no todas las métricas valen igual</w:t>
      </w:r>
    </w:p>
    <w:p>
      <w:pPr>
        <w:pStyle w:val="ListBullet"/>
        <w:keepLines w:val="1"/>
        <w:keepNext w:val="1"/>
        <w:widowControl w:val="1"/>
      </w:pPr>
      <w:r>
        <w:t xml:space="preserve">Breve resumen de los nueve criterios.  </w:t>
      </w:r>
    </w:p>
    <w:p>
      <w:pPr>
        <w:pStyle w:val="ListBullet"/>
        <w:keepLines w:val="1"/>
        <w:keepNext w:val="1"/>
        <w:widowControl w:val="1"/>
      </w:pPr>
      <w:r>
        <w:t xml:space="preserve">Gráfico de barras con el “score PRAGMATIC” de las métricas seleccionadas como KPIs nacionales (por ejemplo, M2.1, M5.2, M7.1, M8.1). [web:27][web:32]  </w:t>
      </w:r>
    </w:p>
    <w:p>
      <w:pPr>
        <w:pStyle w:val="ListBullet"/>
        <w:keepLines w:val="1"/>
        <w:widowControl w:val="1"/>
      </w:pPr>
      <w:r>
        <w:t>Mensaje: se ha priorizado métricas relevantes, accionables y significativas, no sólo fáciles de obtener.</w:t>
      </w:r>
    </w:p>
    <w:p>
      <w:pPr>
        <w:pStyle w:val="Heading2"/>
        <w:keepNext/>
        <w:keepLines/>
      </w:pPr>
      <w:r>
        <w:rPr>
          <w:color w:val="0066CC"/>
        </w:rPr>
        <w:t>Diapositiva 5 – Capacidad de datos: inventario y cobertura SSVC</w:t>
      </w:r>
    </w:p>
    <w:p>
      <w:pPr>
        <w:pStyle w:val="ListBullet"/>
        <w:keepLines w:val="1"/>
        <w:keepNext w:val="1"/>
        <w:widowControl w:val="1"/>
      </w:pPr>
      <w:r>
        <w:t xml:space="preserve">Resultados recientes para M2.1 y M2.2 (% activos críticos con CPE/SBOM, % cubiertos por CVE con SSVC). [web:19][web:22][web:33]  </w:t>
      </w:r>
    </w:p>
    <w:p>
      <w:pPr>
        <w:pStyle w:val="ListBullet"/>
        <w:keepLines w:val="1"/>
        <w:keepNext w:val="1"/>
        <w:widowControl w:val="1"/>
      </w:pPr>
      <w:r>
        <w:t xml:space="preserve">Meta y progreso interanual.  </w:t>
      </w:r>
    </w:p>
    <w:p>
      <w:pPr>
        <w:pStyle w:val="ListBullet"/>
        <w:keepLines w:val="1"/>
        <w:widowControl w:val="1"/>
      </w:pPr>
      <w:r>
        <w:t>Comentario: dónde se necesita seguir mejorando inventario y normalización.</w:t>
      </w:r>
    </w:p>
    <w:p>
      <w:pPr>
        <w:pStyle w:val="Heading2"/>
        <w:keepNext/>
        <w:keepLines/>
      </w:pPr>
      <w:r>
        <w:rPr>
          <w:color w:val="0066CC"/>
        </w:rPr>
        <w:t>Diapositiva 6 – Decisiones: volumen y cumplimiento de Act/Attend/Track</w:t>
      </w:r>
    </w:p>
    <w:p>
      <w:pPr>
        <w:pStyle w:val="ListBullet"/>
        <w:keepLines w:val="1"/>
        <w:keepNext w:val="1"/>
        <w:widowControl w:val="1"/>
      </w:pPr>
      <w:r>
        <w:t xml:space="preserve">Gráfico de columnas stacked mostrando M4.1 (distribución de decisiones) por sector. [web:24][web:6][web:33]  </w:t>
      </w:r>
    </w:p>
    <w:p>
      <w:pPr>
        <w:pStyle w:val="ListBullet"/>
        <w:keepLines w:val="1"/>
        <w:keepNext w:val="1"/>
        <w:widowControl w:val="1"/>
      </w:pPr>
      <w:r>
        <w:t xml:space="preserve">Gráfico adicional con M5.2 (% Act en plazo) por sector. [web:32][web:33]  </w:t>
      </w:r>
    </w:p>
    <w:p>
      <w:pPr>
        <w:pStyle w:val="ListBullet"/>
        <w:keepLines w:val="1"/>
        <w:widowControl w:val="1"/>
      </w:pPr>
      <w:r>
        <w:t>Mensaje: dónde la presión es más alta, quién cumple mejor y quién necesita atención.</w:t>
      </w:r>
    </w:p>
    <w:p>
      <w:pPr>
        <w:pStyle w:val="Heading2"/>
        <w:keepNext/>
        <w:keepLines/>
      </w:pPr>
      <w:r>
        <w:rPr>
          <w:color w:val="0066CC"/>
        </w:rPr>
        <w:t>Diapositiva 7 – Eficacia: incidentes y exposición KEV</w:t>
      </w:r>
    </w:p>
    <w:p>
      <w:pPr>
        <w:pStyle w:val="ListBullet"/>
        <w:keepLines w:val="1"/>
        <w:keepNext w:val="1"/>
        <w:widowControl w:val="1"/>
      </w:pPr>
      <w:r>
        <w:t xml:space="preserve">Gráfico de línea: evolución de M7.1 (% incidentes graves por Track/Attend). [web:16][web:20][web:27]  </w:t>
      </w:r>
    </w:p>
    <w:p>
      <w:pPr>
        <w:pStyle w:val="ListBullet"/>
        <w:keepLines w:val="1"/>
        <w:keepNext w:val="1"/>
        <w:widowControl w:val="1"/>
      </w:pPr>
      <w:r>
        <w:t xml:space="preserve">Gráfico de barras: exposición acumulada M8.1 por sector. [web:6][web:25][web:12]  </w:t>
      </w:r>
    </w:p>
    <w:p>
      <w:pPr>
        <w:pStyle w:val="ListBullet"/>
        <w:keepLines w:val="1"/>
        <w:widowControl w:val="1"/>
      </w:pPr>
      <w:r>
        <w:t>Comentarios sobre lecciones aprendidas y ajustes planificados del modelo SSVC.</w:t>
      </w:r>
    </w:p>
    <w:p>
      <w:pPr>
        <w:pStyle w:val="Heading2"/>
        <w:keepNext/>
        <w:keepLines/>
      </w:pPr>
      <w:r>
        <w:rPr>
          <w:color w:val="0066CC"/>
        </w:rPr>
        <w:t>Diapositiva 8 – IGM nacional y comparativa sectorial</w:t>
      </w:r>
    </w:p>
    <w:p>
      <w:pPr>
        <w:pStyle w:val="ListBullet"/>
        <w:keepLines w:val="1"/>
        <w:keepNext w:val="1"/>
        <w:widowControl w:val="1"/>
      </w:pPr>
      <w:r>
        <w:t xml:space="preserve">Gráfico radar con IG_G1–IG_G9 para el país.  </w:t>
      </w:r>
    </w:p>
    <w:p>
      <w:pPr>
        <w:pStyle w:val="ListBullet"/>
        <w:keepLines w:val="1"/>
        <w:keepNext w:val="1"/>
        <w:widowControl w:val="1"/>
      </w:pPr>
      <w:r>
        <w:t xml:space="preserve">Gráfico de barras que compare IGM_Global entre sectores. [web:27][web:32][web:33]  </w:t>
      </w:r>
    </w:p>
    <w:p>
      <w:pPr>
        <w:pStyle w:val="ListBullet"/>
        <w:keepLines w:val="1"/>
        <w:widowControl w:val="1"/>
      </w:pPr>
      <w:r>
        <w:t>Identificación de sectores rezagados y líderes.</w:t>
      </w:r>
    </w:p>
    <w:p>
      <w:pPr>
        <w:pStyle w:val="Heading2"/>
        <w:keepNext/>
        <w:keepLines/>
      </w:pPr>
      <w:r>
        <w:rPr>
          <w:color w:val="0066CC"/>
        </w:rPr>
        <w:t>Diapositiva 9 – ROI y caso de negocio</w:t>
      </w:r>
    </w:p>
    <w:p>
      <w:pPr>
        <w:pStyle w:val="ListBullet"/>
        <w:keepLines w:val="1"/>
        <w:keepNext w:val="1"/>
        <w:widowControl w:val="1"/>
      </w:pPr>
      <w:r>
        <w:t xml:space="preserve">Presentar costes agregados del programa de gestión de vulnerabilidades (herramientas, personal, proyectos). [web:27][web:32]  </w:t>
      </w:r>
    </w:p>
    <w:p>
      <w:pPr>
        <w:pStyle w:val="ListBullet"/>
        <w:keepLines w:val="1"/>
        <w:keepNext w:val="1"/>
        <w:widowControl w:val="1"/>
      </w:pPr>
      <w:r>
        <w:t xml:space="preserve">Mostrar estimación de beneficios (reducción de incidentes, sanciones evitadas) basada en mejoras en M7.1, M8.1, M5.2. [web:33][web:39][web:41]  </w:t>
      </w:r>
    </w:p>
    <w:p>
      <w:pPr>
        <w:pStyle w:val="ListBullet"/>
        <w:keepLines w:val="1"/>
        <w:widowControl w:val="1"/>
      </w:pPr>
      <w:r>
        <w:t>Cálculo sintético de ROI y horizonte de retorno.</w:t>
      </w:r>
    </w:p>
    <w:p>
      <w:pPr>
        <w:pStyle w:val="Heading2"/>
        <w:keepNext/>
        <w:keepLines/>
      </w:pPr>
      <w:r>
        <w:rPr>
          <w:color w:val="0066CC"/>
        </w:rPr>
        <w:t>Diapositiva 10 – Decisiones estratégicas propuestas</w:t>
      </w:r>
    </w:p>
    <w:p>
      <w:pPr>
        <w:pStyle w:val="ListBullet"/>
        <w:keepLines w:val="1"/>
        <w:keepNext w:val="1"/>
        <w:widowControl w:val="1"/>
      </w:pPr>
      <w:r>
        <w:t xml:space="preserve">Reforzar inventario y normalización donde M2.1/M2.2 estén más bajos.  </w:t>
      </w:r>
    </w:p>
    <w:p>
      <w:pPr>
        <w:pStyle w:val="ListBullet"/>
        <w:keepLines w:val="1"/>
        <w:keepNext w:val="1"/>
        <w:widowControl w:val="1"/>
      </w:pPr>
      <w:r>
        <w:t xml:space="preserve">Establecer o endurecer SLA de remediación para Act donde M5.2 sea insuficiente.  </w:t>
      </w:r>
    </w:p>
    <w:p>
      <w:pPr>
        <w:pStyle w:val="ListBullet"/>
        <w:keepLines w:val="1"/>
        <w:keepNext w:val="1"/>
        <w:widowControl w:val="1"/>
      </w:pPr>
      <w:r>
        <w:t xml:space="preserve">Priorizar sectores con mayor exposición KEV (M8.1) y peor eficacia (M7.1).  </w:t>
      </w:r>
    </w:p>
    <w:p>
      <w:pPr>
        <w:pStyle w:val="ListBullet"/>
        <w:keepLines w:val="1"/>
        <w:widowControl w:val="1"/>
      </w:pPr>
      <w:r>
        <w:t>Invertir selectivamente en automatización donde los indicadores PRAGMATIC señalen métricas baratas y de alto impacto. [web:27][web:32][web:33][web:19][web:6]</w:t>
      </w:r>
    </w:p>
    <w:p>
      <w:pPr>
        <w:pStyle w:val="Heading2"/>
        <w:keepNext/>
        <w:keepLines/>
      </w:pPr>
      <w:r>
        <w:rPr>
          <w:color w:val="0066CC"/>
        </w:rPr>
        <w:t>Diapositiva 11 – Próximos pasos</w:t>
      </w:r>
    </w:p>
    <w:p>
      <w:pPr>
        <w:pStyle w:val="ListBullet"/>
        <w:keepLines w:val="1"/>
        <w:keepNext w:val="1"/>
        <w:widowControl w:val="1"/>
      </w:pPr>
      <w:r>
        <w:t xml:space="preserve">Mejorar la calidad de datos (genuinidad y precisión).  </w:t>
      </w:r>
    </w:p>
    <w:p>
      <w:pPr>
        <w:pStyle w:val="ListBullet"/>
        <w:keepLines w:val="1"/>
        <w:keepNext w:val="1"/>
        <w:widowControl w:val="1"/>
      </w:pPr>
      <w:r>
        <w:t xml:space="preserve">Intensificar el análisis post‑incidente para reducir falsos negativos de SSVC. [web:16][web:20]  </w:t>
      </w:r>
    </w:p>
    <w:p>
      <w:pPr>
        <w:pStyle w:val="ListBullet"/>
        <w:keepLines w:val="1"/>
        <w:widowControl w:val="1"/>
      </w:pPr>
      <w:r>
        <w:t>Revisar anualmente el conjunto de métricas y su puntuación PRAGMATIC para evitar la “cementación” de indicadores obsoletos.</w:t>
      </w:r>
    </w:p>
    <w:p>
      <w:r>
        <w:t>La presentación se apoya así en una narrativa coherente, en lugar de un catálogo de gráficos sin hilo conductor.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