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SSVC y Gestión de Vulnerabilidades</w:t>
      </w:r>
    </w:p>
    <w:p>
      <w:r>
        <w:t>Bienvenido al improbable pero necesario kit de encuesta sobre cómo su organización prioriza vulnerabilidades, con especial cariño por SSVC, KEV, Vulnrichment, EPSS y esa simpática entidad llamada NIS2. [web:19][web:24][web:33][web:22][web:25]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El kit está compuesto por los siguientes documentos en formato Markdown:</w:t>
      </w:r>
    </w:p>
    <w:p>
      <w:pPr>
        <w:pStyle w:val="ListNumber"/>
        <w:keepLines w:val="1"/>
        <w:keepNext w:val="1"/>
        <w:widowControl w:val="1"/>
      </w:pPr>
      <w:r>
        <w:t xml:space="preserve">encuesta-ssvc.md – Modelo de encuesta integral para responsables de la organización.  </w:t>
      </w:r>
    </w:p>
    <w:p>
      <w:pPr>
        <w:pStyle w:val="ListNumber"/>
        <w:keepLines w:val="1"/>
        <w:keepNext w:val="1"/>
        <w:widowControl w:val="1"/>
      </w:pPr>
      <w:r>
        <w:t xml:space="preserve">guia-metodologica-ssvc.md – Explicación detallada de qué mide la encuesta y cómo.  </w:t>
      </w:r>
    </w:p>
    <w:p>
      <w:pPr>
        <w:pStyle w:val="ListNumber"/>
        <w:keepLines w:val="1"/>
        <w:keepNext w:val="1"/>
        <w:widowControl w:val="1"/>
      </w:pPr>
      <w:r>
        <w:t xml:space="preserve">narrativa-explicativa-ssvc.md – Texto narrativo para acompañar y contextualizar la encuesta.  </w:t>
      </w:r>
    </w:p>
    <w:p>
      <w:pPr>
        <w:pStyle w:val="ListNumber"/>
        <w:keepLines w:val="1"/>
        <w:keepNext w:val="1"/>
        <w:widowControl w:val="1"/>
      </w:pPr>
      <w:r>
        <w:t xml:space="preserve">mapeo-preguntas-normativa.md – Mapeo de bloques de preguntas con NIS2, SSVC y buenas prácticas.  </w:t>
      </w:r>
    </w:p>
    <w:p>
      <w:pPr>
        <w:pStyle w:val="ListNumber"/>
        <w:keepLines w:val="1"/>
        <w:keepNext w:val="1"/>
        <w:widowControl w:val="1"/>
      </w:pPr>
      <w:r>
        <w:t xml:space="preserve">plantilla-excel-igm-roi.md – Diseño de hoja Excel para calcular el IGM y el ROI.  </w:t>
      </w:r>
    </w:p>
    <w:p>
      <w:pPr>
        <w:pStyle w:val="ListNumber"/>
        <w:keepLines w:val="1"/>
        <w:widowControl w:val="1"/>
      </w:pPr>
      <w:r>
        <w:t xml:space="preserve">plantilla-reporte-ejecutivo-ssvc.md – Guion de presentación ejecutiva tipo PowerPoint.  </w:t>
      </w:r>
    </w:p>
    <w:p>
      <w:pPr>
        <w:pStyle w:val="Heading2"/>
        <w:keepNext/>
        <w:keepLines/>
      </w:pPr>
      <w:r>
        <w:rPr>
          <w:color w:val="0066CC"/>
        </w:rPr>
        <w:t>2. Objetivos</w:t>
      </w:r>
    </w:p>
    <w:p>
      <w:pPr>
        <w:pStyle w:val="ListBullet"/>
        <w:keepLines w:val="1"/>
        <w:keepNext w:val="1"/>
        <w:widowControl w:val="1"/>
      </w:pPr>
      <w:r>
        <w:t xml:space="preserve">Medir de forma estructurada la madurez de la organización en gestión de vulnerabilidades y priorización basada en riesgo. [web:27][web:32][web:33]  </w:t>
      </w:r>
    </w:p>
    <w:p>
      <w:pPr>
        <w:pStyle w:val="ListBullet"/>
        <w:keepLines w:val="1"/>
        <w:keepNext w:val="1"/>
        <w:widowControl w:val="1"/>
      </w:pPr>
      <w:r>
        <w:t xml:space="preserve">Evaluar el grado de adopción (real, no solo declarativo) del marco SSVC y el uso de datos de explotación y contexto (KEV, Vulnrichment, EPSS). [web:19][web:22][web:25][web:23][web:20][web:24]  </w:t>
      </w:r>
    </w:p>
    <w:p>
      <w:pPr>
        <w:pStyle w:val="ListBullet"/>
        <w:keepLines w:val="1"/>
        <w:keepNext w:val="1"/>
        <w:widowControl w:val="1"/>
      </w:pPr>
      <w:r>
        <w:t xml:space="preserve">Conectar estos resultados con los requisitos de NIS2 y otras obligaciones regulatorias. [web:33][web:39][web:36]  </w:t>
      </w:r>
    </w:p>
    <w:p>
      <w:pPr>
        <w:pStyle w:val="ListBullet"/>
        <w:keepLines w:val="1"/>
        <w:widowControl w:val="1"/>
      </w:pPr>
      <w:r>
        <w:t>Facilitar la construcción de un caso de negocio cuantificable para mejorar capacidades y automatización. [web:27][web:32][web:41]</w:t>
      </w:r>
    </w:p>
    <w:p>
      <w:pPr>
        <w:pStyle w:val="Heading2"/>
        <w:keepNext/>
        <w:keepLines/>
      </w:pPr>
      <w:r>
        <w:rPr>
          <w:color w:val="0066CC"/>
        </w:rPr>
        <w:t>3. Cómo usar el kit</w:t>
      </w:r>
    </w:p>
    <w:p>
      <w:pPr>
        <w:pStyle w:val="ListNumber"/>
        <w:keepLines w:val="1"/>
        <w:keepNext w:val="1"/>
        <w:widowControl w:val="1"/>
      </w:pPr>
      <w:r>
        <w:t xml:space="preserve">Personalizar la encuesta (encuesta-ssvc.md) con la terminología y matices propios de su organización o sector (sin diluir el contenido, si puede ser).  </w:t>
      </w:r>
    </w:p>
    <w:p>
      <w:pPr>
        <w:pStyle w:val="ListNumber"/>
        <w:keepLines w:val="1"/>
        <w:keepNext w:val="1"/>
        <w:widowControl w:val="1"/>
      </w:pPr>
      <w:r>
        <w:t xml:space="preserve">Distribuir la encuesta a los responsables adecuados y fijar un plazo razonable de respuesta.  </w:t>
      </w:r>
    </w:p>
    <w:p>
      <w:pPr>
        <w:pStyle w:val="ListNumber"/>
        <w:keepLines w:val="1"/>
        <w:keepNext w:val="1"/>
        <w:widowControl w:val="1"/>
      </w:pPr>
      <w:r>
        <w:t xml:space="preserve">Codificar las respuestas en la plantilla Excel descrita en plantilla-excel-igm-roi.md, calculando IGM y métricas clave.  </w:t>
      </w:r>
    </w:p>
    <w:p>
      <w:pPr>
        <w:pStyle w:val="ListNumber"/>
        <w:keepLines w:val="1"/>
        <w:keepNext w:val="1"/>
        <w:widowControl w:val="1"/>
      </w:pPr>
      <w:r>
        <w:t xml:space="preserve">Analizar resultados siguiendo la guia-metodologica-ssvc.md y el mapeo-preguntas-normativa.md.  </w:t>
      </w:r>
    </w:p>
    <w:p>
      <w:pPr>
        <w:pStyle w:val="ListNumber"/>
        <w:keepLines w:val="1"/>
        <w:keepNext w:val="1"/>
        <w:widowControl w:val="1"/>
      </w:pPr>
      <w:r>
        <w:t xml:space="preserve">Preparar un reporte ejecutivo para Alta Dirección con la ayuda de plantilla-reporte-ejecutivo-ssvc.md.  </w:t>
      </w:r>
    </w:p>
    <w:p>
      <w:pPr>
        <w:pStyle w:val="ListNumber"/>
        <w:keepLines w:val="1"/>
        <w:widowControl w:val="1"/>
      </w:pPr>
      <w:r>
        <w:t>Repetir el ejercicio de forma periódica (anual o semestral) para medir progreso y justificar inversiones.</w:t>
      </w:r>
    </w:p>
    <w:p>
      <w:pPr>
        <w:pStyle w:val="Heading2"/>
        <w:keepNext/>
        <w:keepLines/>
      </w:pPr>
      <w:r>
        <w:rPr>
          <w:color w:val="0066CC"/>
        </w:rPr>
        <w:t>4. Adaptación y extensiones</w:t>
      </w:r>
    </w:p>
    <w:p>
      <w:r>
        <w:t>El kit está pensado para ser adaptable:</w:t>
      </w:r>
    </w:p>
    <w:p>
      <w:pPr>
        <w:pStyle w:val="ListBullet"/>
        <w:keepLines w:val="1"/>
        <w:keepNext w:val="1"/>
        <w:widowControl w:val="1"/>
      </w:pPr>
      <w:r>
        <w:t xml:space="preserve">Puede integrarse en programas existentes de auditoría interna o frameworks como NIST CSF o ISO 27001. [web:33][web:32]  </w:t>
      </w:r>
    </w:p>
    <w:p>
      <w:pPr>
        <w:pStyle w:val="ListBullet"/>
        <w:keepLines w:val="1"/>
        <w:keepNext w:val="1"/>
        <w:widowControl w:val="1"/>
      </w:pPr>
      <w:r>
        <w:t xml:space="preserve">Puede ampliarse con secciones específicas para OT, IoT o sectores regulados concretos, reutilizando los mismos principios de SSVC. [web:20][web:41]  </w:t>
      </w:r>
    </w:p>
    <w:p>
      <w:pPr>
        <w:pStyle w:val="ListBullet"/>
        <w:keepLines w:val="1"/>
        <w:widowControl w:val="1"/>
      </w:pPr>
      <w:r>
        <w:t>Puede combinarse con análisis empíricos de incidentes para ajustar ponderaciones y mejorar el modelo de IGM. [web:16][web:27][web:32]</w:t>
      </w:r>
    </w:p>
    <w:p>
      <w:pPr>
        <w:pStyle w:val="Heading2"/>
        <w:keepNext/>
        <w:keepLines/>
      </w:pPr>
      <w:r>
        <w:rPr>
          <w:color w:val="0066CC"/>
        </w:rPr>
        <w:t>5. Referencias clave</w:t>
      </w:r>
    </w:p>
    <w:p>
      <w:pPr>
        <w:pStyle w:val="ListBullet"/>
        <w:keepLines w:val="1"/>
        <w:keepNext w:val="1"/>
        <w:widowControl w:val="1"/>
      </w:pPr>
      <w:r>
        <w:t xml:space="preserve">CERT/CC – Documentación oficial de SSVC, bootstrapping, decisiones y modelos. [web:24][web:30][web:5][web:19][web:37]  </w:t>
      </w:r>
    </w:p>
    <w:p>
      <w:pPr>
        <w:pStyle w:val="ListBullet"/>
        <w:keepLines w:val="1"/>
        <w:keepNext w:val="1"/>
        <w:widowControl w:val="1"/>
      </w:pPr>
      <w:r>
        <w:t xml:space="preserve">CISA – KEV, Vulnrichment y uso de SSVC en priorización nacional. [web:6][web:22][web:25][web:28][web:19]  </w:t>
      </w:r>
    </w:p>
    <w:p>
      <w:pPr>
        <w:pStyle w:val="ListBullet"/>
        <w:keepLines w:val="1"/>
        <w:keepNext w:val="1"/>
        <w:widowControl w:val="1"/>
      </w:pPr>
      <w:r>
        <w:t xml:space="preserve">NIS2 – Requisitos de gestión de vulnerabilidades, gobernanza y reporting. [web:33][web:39][web:36]  </w:t>
      </w:r>
    </w:p>
    <w:p>
      <w:pPr>
        <w:pStyle w:val="ListBullet"/>
        <w:keepLines w:val="1"/>
        <w:widowControl w:val="1"/>
      </w:pPr>
      <w:r>
        <w:t>Informes industriales sobre métricas, estado de gestión de vulnerabilidades y ROI. [web:27][web:32][web:35][web:38][web:41]</w:t>
      </w:r>
    </w:p>
    <w:p>
      <w:pPr>
        <w:pStyle w:val="Heading2"/>
        <w:keepNext/>
        <w:keepLines/>
      </w:pPr>
      <w:r>
        <w:rPr>
          <w:color w:val="0066CC"/>
        </w:rPr>
        <w:t>6. Nota final</w:t>
      </w:r>
    </w:p>
    <w:p>
      <w:r>
        <w:t>Este kit no garantiza la iluminación súbita ni el cumplimiento automático, pero ofrece una estructura razonablemente sólida para pasar de discusiones abstractas sobre “riesgo” a preguntas concretas, respuestas medibles y decisiones que se pueden defender delante de un regulador, un auditor o, en el peor de los casos, una comisión parlamentaria.</w:t>
      </w:r>
    </w:p>
    <w:p>
      <w:r>
        <w:t>Si después de usarlo su organización decide seguir priorizando parches “por olfato”, al menos lo hará con plena conciencia de causa.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