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SSVC.</w:t>
      </w:r>
    </w:p>
    <w:p>
      <w:r>
        <w:t>El marco SSVC no quiere otra colección de numeritos; quiere que España (y cualquiera que se deje) tome decisiones de priorización que aguantarían un interrogatorio parlamentario, una auditoría ISO y, si se tercia, una comisión de investigación.</w:t>
      </w:r>
      <w:r/>
      <w:r>
        <w:rPr/>
        <w:footnoteReference w:id="1"/>
      </w:r>
      <w:r/>
      <w:r>
        <w:rPr/>
        <w:footnoteReference w:id="2"/>
      </w:r>
    </w:p>
    <w:p>
      <w:pPr>
        <w:pStyle w:val="Heading2"/>
        <w:keepNext/>
        <w:keepLines/>
      </w:pPr>
      <w:r>
        <w:rPr>
          <w:color w:val="0066CC"/>
        </w:rPr>
        <w:t>1. Recordatorio mínimo de qué es SSVC (versión 2025+)</w:t>
      </w:r>
    </w:p>
    <w:p>
      <w:r>
        <w:t xml:space="preserve">SSVC (Stakeholder‑Specific Vulnerability Categorization) es un marco de decisión basado en árboles que asigna </w:t>
      </w:r>
      <w:r>
        <w:rPr>
          <w:b/>
        </w:rPr>
        <w:t>acciones</w:t>
      </w:r>
      <w:r>
        <w:t xml:space="preserve"> (Act, Attend, Track, etc.) a vulnerabilidades, en función de puntos de decisión cualitativos: explotación, exposición, impacto en la misión, automatización del ataque, etc., en lugar de una puntuación numérica tipo CVSS.</w:t>
      </w:r>
      <w:r/>
      <w:r>
        <w:rPr/>
        <w:footnoteReference w:id="2"/>
      </w:r>
      <w:r/>
      <w:r>
        <w:rPr/>
        <w:footnoteReference w:id="1"/>
      </w:r>
      <w:r/>
      <w:r>
        <w:br/>
        <w:t>Fue desarrollado por el CERT/CC de Carnegie Mellon y CISA para romper el “café para todos” del riesgo, permitiendo modelos distintos para descubridores, fabricantes, coordinadores, operadores y administraciones que gestionan infraestructuras críticas.</w:t>
      </w:r>
      <w:r/>
      <w:r>
        <w:rPr/>
        <w:footnoteReference w:id="1"/>
      </w:r>
      <w:r/>
      <w:r>
        <w:rPr/>
        <w:footnoteReference w:id="2"/>
      </w:r>
    </w:p>
    <w:p>
      <w:r>
        <w:t>Desde 2024–2026, el marco ha evolucionado en tres frentes muy relevantes para un despliegue territorial/nacional:</w:t>
      </w:r>
    </w:p>
    <w:p>
      <w:r>
        <w:t>1) mayor disponibilidad de datos “SSVC‑ready” a través de CISA (Vulnrichment, KEV, etc.),</w:t>
      </w:r>
      <w:r/>
      <w:r>
        <w:br/>
        <w:t>2) esquemas JSON y compatibilidad semántica con CVSS v4, CVE y CSAF,</w:t>
      </w:r>
      <w:r/>
      <w:r>
        <w:br/>
        <w:t>3) trabajos académicos y técnicos que automatizan partes del árbol de decisión y lo acoplan con EPSS y otros modelos.</w:t>
      </w:r>
      <w:r/>
      <w:r>
        <w:rPr/>
        <w:footnoteReference w:id="3"/>
      </w:r>
      <w:r/>
      <w:r>
        <w:rPr/>
        <w:footnoteReference w:id="4"/>
      </w:r>
      <w:r/>
      <w:r>
        <w:rPr/>
        <w:footnoteReference w:id="5"/>
      </w:r>
      <w:r/>
      <w:r>
        <w:rPr/>
        <w:footnoteReference w:id="6"/>
      </w:r>
      <w:r/>
      <w:r>
        <w:rPr/>
        <w:footnoteReference w:id="7"/>
      </w:r>
    </w:p>
    <w:p>
      <w:pPr>
        <w:pStyle w:val="Heading2"/>
        <w:keepNext/>
        <w:keepLines/>
      </w:pPr>
      <w:r>
        <w:rPr>
          <w:color w:val="0066CC"/>
        </w:rPr>
        <w:t>2. Últimas tendencias (2025–2026) en indicadores SSVC</w:t>
      </w:r>
    </w:p>
    <w:p>
      <w:pPr>
        <w:pStyle w:val="Heading3"/>
        <w:keepNext/>
        <w:keepLines/>
      </w:pPr>
      <w:r>
        <w:t>2.1. De árbol artesanal a dato industrializable</w:t>
      </w:r>
    </w:p>
    <w:p>
      <w:r>
        <w:t>Una de las novedades más importantes es que SSVC ha pasado del PDF ilustrado al dato que se puede ingerir en un SIEM nacional sin que al arquitecto se le caigan las lágrimas. SSVC v2025.9 introduce esquemas JSON concretos para representar puntos de decisión y resultados, de forma que se puedan adjuntar a registros CVE y formatos de intercambio como CSAF.</w:t>
      </w:r>
      <w:r/>
      <w:r>
        <w:rPr/>
        <w:footnoteReference w:id="4"/>
      </w:r>
    </w:p>
    <w:p>
      <w:r>
        <w:t xml:space="preserve">CISA, actuando como “Authorized Data Publisher”, ha iniciado el programa Vulnrichment, que enriquece CVE con metadatos adicionales: CPE, CVSS, CWE, información KEV y, progresivamente, puntos de decisión SSVC como </w:t>
      </w:r>
      <w:r>
        <w:rPr>
          <w:i/>
        </w:rPr>
        <w:t>Technical Impact</w:t>
      </w:r>
      <w:r>
        <w:t xml:space="preserve">, </w:t>
      </w:r>
      <w:r>
        <w:rPr>
          <w:i/>
        </w:rPr>
        <w:t>Exploitation</w:t>
      </w:r>
      <w:r>
        <w:t xml:space="preserve"> y </w:t>
      </w:r>
      <w:r>
        <w:rPr>
          <w:i/>
        </w:rPr>
        <w:t>Automatable</w:t>
      </w:r>
      <w:r>
        <w:t>.</w:t>
      </w:r>
      <w:r/>
      <w:r>
        <w:rPr/>
        <w:footnoteReference w:id="6"/>
      </w:r>
      <w:r/>
      <w:r>
        <w:rPr/>
        <w:footnoteReference w:id="7"/>
      </w:r>
      <w:r/>
      <w:r>
        <w:rPr/>
        <w:footnoteReference w:id="4"/>
      </w:r>
      <w:r/>
      <w:r>
        <w:br/>
        <w:t>Esto significa que el indicador “estado de explotación” o “automatización del exploit” deja de ser una adivinanza local para convertirse en un campo concreto que puede consumir el CERT nacional o un CSIRT autonómico sin rehacer todo el trabajo de inteligencia de amenazas.</w:t>
      </w:r>
      <w:r/>
      <w:r>
        <w:rPr/>
        <w:footnoteReference w:id="8"/>
      </w:r>
      <w:r/>
      <w:r>
        <w:rPr/>
        <w:footnoteReference w:id="4"/>
      </w:r>
    </w:p>
    <w:p>
      <w:pPr>
        <w:pStyle w:val="Heading3"/>
        <w:keepNext/>
        <w:keepLines/>
      </w:pPr>
      <w:r>
        <w:t>2.2. CISA como laboratorio de SSVC a escala estatal</w:t>
      </w:r>
    </w:p>
    <w:p>
      <w:r>
        <w:t>CISA ha utilizado SSVC a gran escala para priorizar más de 43 000 vulnerabilidades, integrándolo junto con su catálogo KEV y otros productos para la protección de sistemas federales e infraestructuras críticas.</w:t>
      </w:r>
      <w:r/>
      <w:r>
        <w:rPr/>
        <w:footnoteReference w:id="9"/>
      </w:r>
      <w:r/>
      <w:r>
        <w:br/>
        <w:t>En 2025, la agencia reporta que ha evaluado y priorizado vulnerabilidades con SSVC como parte de su servicio de “triage” y de su defensa colectiva, y que el catálogo KEV crece apoyado en Vulnrichment y evaluación SSVC sistemática.</w:t>
      </w:r>
      <w:r/>
      <w:r>
        <w:rPr/>
        <w:footnoteReference w:id="10"/>
      </w:r>
      <w:r/>
      <w:r>
        <w:rPr/>
        <w:footnoteReference w:id="9"/>
      </w:r>
      <w:r/>
      <w:r>
        <w:rPr/>
        <w:footnoteReference w:id="8"/>
      </w:r>
    </w:p>
    <w:p>
      <w:r>
        <w:t>La tendencia clave aquí es que SSVC deja de ser un experimento académico y se convierte en un sistema operativo de priorización nacional:</w:t>
      </w:r>
      <w:r/>
      <w:r>
        <w:br/>
        <w:t>– cada entrada KEV lleva, como mínimo, una evaluación SSVC,</w:t>
      </w:r>
      <w:r/>
      <w:r>
        <w:br/>
        <w:t>– el esfuerzo de Vulnrichment garantiza que toda entrada KEV tenga CVSS, CVE y una evaluación mínima de SSVC para facilitar un “primer corte” de priorización automatizada.</w:t>
      </w:r>
      <w:r/>
      <w:r>
        <w:rPr/>
        <w:footnoteReference w:id="6"/>
      </w:r>
      <w:r/>
      <w:r>
        <w:rPr/>
        <w:footnoteReference w:id="8"/>
      </w:r>
    </w:p>
    <w:p>
      <w:r>
        <w:t>Para un equivalente español (INCIBE‑CERT, CCN‑CERT, operadores críticos), esto sugiere un modelo obvio: reutilizar Vulnrichment y KEV como fuente de referencia de indicadores SSVC “globales” y superponer la capa de contexto nacional/sectorial.</w:t>
      </w:r>
    </w:p>
    <w:p>
      <w:pPr>
        <w:pStyle w:val="Heading3"/>
        <w:keepNext/>
        <w:keepLines/>
      </w:pPr>
      <w:r>
        <w:t>2.3. Evaluaciones empíricas y automatización</w:t>
      </w:r>
    </w:p>
    <w:p>
      <w:r>
        <w:t>La literatura reciente ha empezado a tratar SSVC como un objeto de estudio cuantitativo en vez de epifanía metodológica. Un estudio empírico de gran escala compara CVSS, EPSS y SSVC, analizando cómo difieren sus recomendaciones de priorización y evidenciando que SSVC, al producir etiquetas de acción en lugar de puntuaciones, responde mejor a la pregunta “qué hago ahora” que a “cuántos puntos tiene este CVE”.</w:t>
      </w:r>
      <w:r/>
      <w:r>
        <w:rPr/>
        <w:footnoteReference w:id="3"/>
      </w:r>
    </w:p>
    <w:p>
      <w:r>
        <w:t>Otro trabajo se centra en la automatización del árbol SSVC mediante métodos de peor caso, con el objetivo de determinar de forma automática el camino de alta prioridad (HI‑SDP) en contextos industriales.</w:t>
      </w:r>
      <w:r/>
      <w:r>
        <w:rPr/>
        <w:footnoteReference w:id="11"/>
      </w:r>
      <w:r/>
      <w:r>
        <w:br/>
        <w:t>En paralelo, se ha presentado un marco de priorización de vulnerabilidades IoT que integra EPSS en tiempo real con el árbol de decisión SSVC, demostrando una mejora notable en la identificación de las vulnerabilidades que realmente requieren atención inmediata frente a métodos basados únicamente en CVSS.</w:t>
      </w:r>
      <w:r/>
      <w:r>
        <w:rPr/>
        <w:footnoteReference w:id="5"/>
      </w:r>
    </w:p>
    <w:p>
      <w:r>
        <w:t>El mensaje que llega a las políticas nacionales es incómodo pero claro:</w:t>
      </w:r>
      <w:r/>
      <w:r>
        <w:br/>
        <w:t>– SSVC manual es excelente para gobernanza y transparencia, pero inasumible para decenas de miles de CVE;</w:t>
      </w:r>
      <w:r/>
      <w:r>
        <w:br/>
        <w:t>– SSVC automatizado (respaldado por EPSS, KEV, telemetría y esquemas estándar) es viable como motor de priorización territorial.</w:t>
      </w:r>
      <w:r/>
      <w:r>
        <w:rPr/>
        <w:footnoteReference w:id="12"/>
      </w:r>
      <w:r/>
      <w:r>
        <w:rPr/>
        <w:footnoteReference w:id="11"/>
      </w:r>
      <w:r/>
      <w:r>
        <w:rPr/>
        <w:footnoteReference w:id="5"/>
      </w:r>
    </w:p>
    <w:p>
      <w:pPr>
        <w:pStyle w:val="Heading2"/>
        <w:keepNext/>
        <w:keepLines/>
      </w:pPr>
      <w:r>
        <w:rPr>
          <w:color w:val="0066CC"/>
        </w:rPr>
        <w:t>3. Indicadores SSVC y métricas nucleares</w:t>
      </w:r>
    </w:p>
    <w:p>
      <w:r>
        <w:t>En SSVC 2.0 y sus evoluciones, los puntos de decisión son las unidades atómicas que luego se pueden agregar a métricas de nivel programa o país.  No son “indicadores en el sentido clásico ISO 27004”, pero se prestan bien a métricas operativas.</w:t>
      </w:r>
      <w:r/>
      <w:r>
        <w:rPr/>
        <w:footnoteReference w:id="4"/>
      </w:r>
      <w:r/>
      <w:r>
        <w:rPr/>
        <w:footnoteReference w:id="2"/>
      </w:r>
    </w:p>
    <w:p>
      <w:pPr>
        <w:pStyle w:val="Heading3"/>
        <w:keepNext/>
        <w:keepLines/>
      </w:pPr>
      <w:r>
        <w:t>3.1. Indicadores clásicos de SSVC (eje micro)</w:t>
      </w:r>
    </w:p>
    <w:p>
      <w:r>
        <w:t>Los puntos de decisión originales –con ligeras variaciones por rol– incluyen, entre otros, dimensiones como:</w:t>
      </w:r>
      <w:r/>
      <w:r>
        <w:rPr/>
        <w:footnoteReference w:id="2"/>
      </w:r>
      <w:r/>
      <w:r>
        <w:rPr/>
        <w:footnoteReference w:id="1"/>
      </w:r>
      <w:r/>
      <w:r>
        <w:rPr/>
        <w:footnoteReference w:id="4"/>
      </w:r>
    </w:p>
    <w:p>
      <w:r>
        <w:t>– estado de explotación (none, PoC, active, etc.),</w:t>
      </w:r>
      <w:r/>
      <w:r>
        <w:br/>
        <w:t>– automatización del exploit (manual, automatizable, automatizado),</w:t>
      </w:r>
      <w:r/>
      <w:r>
        <w:br/>
        <w:t>– exposición del sistema (internet‑facing, controlado, aislado),</w:t>
      </w:r>
      <w:r/>
      <w:r>
        <w:br/>
        <w:t>– impacto técnico (none, partial, total sobre confidencialidad, integridad, disponibilidad),</w:t>
      </w:r>
      <w:r/>
      <w:r>
        <w:br/>
        <w:t>– impacto en la misión/seguridad pública (desde “mínimo” hasta “crítico/amenaza para la vida”).</w:t>
      </w:r>
    </w:p>
    <w:p>
      <w:r>
        <w:t>Cada combinación de estos puntos desemboca en una acción recomendada: Act (remediar con urgencia), Attend (prioridad alta con planificación), Track (monitorizar), y variantes como Track* cuando hay incertidumbre o dependencia de información adicional.</w:t>
      </w:r>
      <w:r/>
      <w:r>
        <w:rPr/>
        <w:footnoteReference w:id="13"/>
      </w:r>
      <w:r/>
      <w:r>
        <w:rPr/>
        <w:footnoteReference w:id="1"/>
      </w:r>
      <w:r/>
      <w:r>
        <w:rPr/>
        <w:footnoteReference w:id="2"/>
      </w:r>
    </w:p>
    <w:p>
      <w:r>
        <w:t>Estos puntos de decisión son, en sí mismos, indicadores operativos excelentes: pueden ser registrados para cada CVE, agregados por sector, territorio o tipo de activo, y transformados en métricas de madurez y exposición.</w:t>
      </w:r>
    </w:p>
    <w:p>
      <w:pPr>
        <w:pStyle w:val="Heading3"/>
        <w:keepNext/>
        <w:keepLines/>
      </w:pPr>
      <w:r>
        <w:t>3.2. Nuevos indicadores “facilitados” por Vulnrichment y CVSS v4</w:t>
      </w:r>
    </w:p>
    <w:p>
      <w:r>
        <w:t>La convergencia con CVSS v4 y los esquemas JSON de SSVC permiten definir indicadores adicionales sin reinventar los datos:</w:t>
      </w:r>
      <w:r/>
      <w:r>
        <w:rPr/>
        <w:footnoteReference w:id="4"/>
      </w:r>
    </w:p>
    <w:p>
      <w:r>
        <w:t xml:space="preserve">– porcentaje de vulnerabilidades con datos completos de </w:t>
      </w:r>
      <w:r>
        <w:rPr>
          <w:i/>
        </w:rPr>
        <w:t>Technical Impact</w:t>
      </w:r>
      <w:r>
        <w:t xml:space="preserve">, </w:t>
      </w:r>
      <w:r>
        <w:rPr>
          <w:i/>
        </w:rPr>
        <w:t>Exploitation</w:t>
      </w:r>
      <w:r>
        <w:t xml:space="preserve"> y </w:t>
      </w:r>
      <w:r>
        <w:rPr>
          <w:i/>
        </w:rPr>
        <w:t>Automatable</w:t>
      </w:r>
      <w:r>
        <w:t>,</w:t>
      </w:r>
      <w:r/>
      <w:r>
        <w:br/>
        <w:t>– tiempo medio desde la asignación de CVE hasta la disponibilidad de una evaluación SSVC completa,</w:t>
      </w:r>
      <w:r/>
      <w:r>
        <w:br/>
        <w:t>– cobertura de activos nacionales por vulnerabilidades con evaluación SSVC enriquecida, usando CPE y el inventario nacional de tecnologías críticas.</w:t>
      </w:r>
    </w:p>
    <w:p>
      <w:r>
        <w:t>CISA señala que la disponibilidad de puntos de decisión SSVC como datos estructurados en CVE y CSAF reduce la brecha de información para los gestores de vulnerabilidades y permite priorizaciones más objetivas y auditables.</w:t>
      </w:r>
      <w:r/>
      <w:r>
        <w:rPr/>
        <w:footnoteReference w:id="8"/>
      </w:r>
      <w:r/>
      <w:r>
        <w:rPr/>
        <w:footnoteReference w:id="6"/>
      </w:r>
      <w:r/>
      <w:r>
        <w:rPr/>
        <w:footnoteReference w:id="4"/>
      </w:r>
    </w:p>
    <w:p>
      <w:pPr>
        <w:pStyle w:val="Heading3"/>
        <w:keepNext/>
        <w:keepLines/>
      </w:pPr>
      <w:r>
        <w:t>3.3. Métricas compuestas de nivel nacional</w:t>
      </w:r>
    </w:p>
    <w:p>
      <w:r>
        <w:t>La gracia del SSVC, para un país, no está en el árbol, sino en lo que se puede hacer con los resultados agregados. Algunos indicadores que la práctica internacional está insinuando (aunque no siempre los llame así) serían:</w:t>
      </w:r>
      <w:r/>
      <w:r>
        <w:rPr/>
        <w:footnoteReference w:id="14"/>
      </w:r>
      <w:r/>
      <w:r>
        <w:rPr/>
        <w:footnoteReference w:id="9"/>
      </w:r>
      <w:r/>
      <w:r>
        <w:rPr/>
        <w:footnoteReference w:id="13"/>
      </w:r>
      <w:r/>
      <w:r>
        <w:rPr/>
        <w:footnoteReference w:id="8"/>
      </w:r>
    </w:p>
    <w:p>
      <w:r>
        <w:t>– proporción de vulnerabilidades que afectan a activos críticos nacionales clasificadas como Act vs Attend vs Track,</w:t>
      </w:r>
      <w:r/>
      <w:r>
        <w:br/>
        <w:t>– tiempo medio de respuesta desde la clasificación SSVC en Act hasta remediación efectiva (por sector, por tipo de operador),</w:t>
      </w:r>
      <w:r/>
      <w:r>
        <w:br/>
        <w:t>– porcentaje de vulnerabilidades KEV que afectan a infraestructuras nacionales críticas sin acción Act completada en el plazo definido,</w:t>
      </w:r>
      <w:r/>
      <w:r>
        <w:br/>
        <w:t>– correlación entre categorías SSVC y incidentes reales, midiendo cuántos incidentes provienen de vulnerabilidades que estaban clasificadas como Track o Attend (es decir, “falsos negativos” de priorización).</w:t>
      </w:r>
    </w:p>
    <w:p>
      <w:r>
        <w:t>En informes industriales de 2025 se observa un movimiento general hacia medir la eficacia de la remediación (volumen de vulnerabilidades cerradas en plazo, reducción del backlog crítico, etc.), y SSVC encaja como capa que transforma esas métricas en algo alineado con el impacto real y el riesgo aceptable.</w:t>
      </w:r>
      <w:r/>
      <w:r>
        <w:rPr/>
        <w:footnoteReference w:id="15"/>
      </w:r>
      <w:r/>
      <w:r>
        <w:rPr/>
        <w:footnoteReference w:id="16"/>
      </w:r>
      <w:r/>
      <w:r>
        <w:rPr/>
        <w:footnoteReference w:id="13"/>
      </w:r>
      <w:r/>
      <w:r>
        <w:rPr/>
        <w:footnoteReference w:id="14"/>
      </w:r>
    </w:p>
    <w:p>
      <w:pPr>
        <w:pStyle w:val="Heading2"/>
        <w:keepNext/>
        <w:keepLines/>
      </w:pPr>
      <w:r>
        <w:rPr>
          <w:color w:val="0066CC"/>
        </w:rPr>
        <w:t>4. Aplicación a escala nacional y territorial (España en el espejo)</w:t>
      </w:r>
    </w:p>
    <w:p>
      <w:pPr>
        <w:pStyle w:val="Heading3"/>
        <w:keepNext/>
        <w:keepLines/>
      </w:pPr>
      <w:r>
        <w:t>4.1. Ecosistema institucional español</w:t>
      </w:r>
    </w:p>
    <w:p>
      <w:r>
        <w:t>En España, INCIBE‑CERT actúa como CERT de referencia para ciudadanos y entidades de derecho privado, coordinando con la Oficina de Coordinación de Ciberseguridad del Ministerio del Interior para operadores críticos, en el marco del Real Decreto‑ley 12/2018 (transposición de la Directiva NIS).</w:t>
      </w:r>
      <w:r/>
      <w:r>
        <w:rPr/>
        <w:footnoteReference w:id="17"/>
      </w:r>
      <w:r/>
      <w:r>
        <w:rPr/>
        <w:footnoteReference w:id="18"/>
      </w:r>
      <w:r/>
      <w:r>
        <w:br/>
        <w:t>El CCN‑CERT atiende la Administración Pública y el sector clasificado, y ambos participan en proyectos europeos y redes CSIRT que favorecen la adopción de metodologías comunes.</w:t>
      </w:r>
      <w:r/>
      <w:r>
        <w:rPr/>
        <w:footnoteReference w:id="18"/>
      </w:r>
      <w:r/>
      <w:r>
        <w:rPr/>
        <w:footnoteReference w:id="19"/>
      </w:r>
    </w:p>
    <w:p>
      <w:r>
        <w:t>Aunque no hay aún una normativa española que mencione SSVC con nombre y apellidos, el marco regulatorio NIS2 y las guías de buenas prácticas de la UE sobre gestión de vulnerabilidades empujan hacia modelos de priorización basados en riesgo, coordinación entre CSIRTs y uso compartido de información estructurada, donde SSVC encaja sin necesidad de pedir permiso a nadie.</w:t>
      </w:r>
      <w:r/>
      <w:r>
        <w:rPr/>
        <w:footnoteReference w:id="19"/>
      </w:r>
      <w:r/>
      <w:r>
        <w:rPr/>
        <w:footnoteReference w:id="20"/>
      </w:r>
      <w:r/>
      <w:r>
        <w:rPr/>
        <w:footnoteReference w:id="9"/>
      </w:r>
    </w:p>
    <w:p>
      <w:pPr>
        <w:pStyle w:val="Heading3"/>
        <w:keepNext/>
        <w:keepLines/>
      </w:pPr>
      <w:r>
        <w:t>4.2. Modelo propuesto de indicadores SSVC para España</w:t>
      </w:r>
    </w:p>
    <w:p>
      <w:r>
        <w:t>Un modelo razonablemente ambicioso para España, inspirado por la experiencia de CISA pero adaptado al reparto de competencias, podría articularse en tres capas.</w:t>
      </w:r>
    </w:p>
    <w:p>
      <w:r>
        <w:t>Primera capa: indicadores de datos. El objetivo aquí es saber si se dispone de información suficiente para que SSVC sea algo más que un ejercicio de voluntarismo. Métricas como:</w:t>
      </w:r>
      <w:r/>
      <w:r>
        <w:br/>
        <w:t>– porcentaje de CVE relevantes para el parque tecnológico español que disponen de puntos de decisión SSVC a través de Vulnrichment, KEV u otras fuentes,</w:t>
      </w:r>
      <w:r/>
      <w:r>
        <w:br/>
        <w:t>– proporción de esos CVE cuya información SSVC ha sido revisada y, si procede, ajustada para el contexto nacional (por ejemplo, exposición distinta en España frente a USA),</w:t>
      </w:r>
      <w:r/>
      <w:r>
        <w:br/>
        <w:t>– cobertura de inventario: porcentaje de activos críticos nacionales cuyos CPE pueden correlacionarse automáticamente con CVE enriquecidos con SSVC.</w:t>
      </w:r>
      <w:r/>
      <w:r>
        <w:rPr/>
        <w:footnoteReference w:id="7"/>
      </w:r>
      <w:r/>
      <w:r>
        <w:rPr/>
        <w:footnoteReference w:id="6"/>
      </w:r>
      <w:r/>
      <w:r>
        <w:rPr/>
        <w:footnoteReference w:id="8"/>
      </w:r>
      <w:r/>
      <w:r>
        <w:rPr/>
        <w:footnoteReference w:id="4"/>
      </w:r>
    </w:p>
    <w:p>
      <w:r>
        <w:t>Segunda capa: indicadores de decisión. Aquí interesa cómo se concreta el árbol SSVC para roles españoles: operadores de servicios esenciales, proveedores nacionales, coordinadores (INCIBE‑CERT, CCN‑CERT), y reguladores. Métricas como:</w:t>
      </w:r>
      <w:r/>
      <w:r>
        <w:br/>
        <w:t>– tiempo medio desde detección de un CVE de interés hasta la emisión de una decisión SSVC oficial (por ejemplo, una recomendación “Act” nacional),</w:t>
      </w:r>
      <w:r/>
      <w:r>
        <w:br/>
        <w:t>– número de vulnerabilidades clasificadas como Act para cada sector crítico al mes, y su distribución geográfica por comunidades autónomas,</w:t>
      </w:r>
      <w:r/>
      <w:r>
        <w:br/>
        <w:t>– niveles de discrepancia entre decisiones SSVC locales (por ejemplo, en grandes operadores) y las recomendaciones emitidas por el CERT nacional, medidos como porcentaje de casos en los que el operador “relaja” o “endurece” la acción propuesta.</w:t>
      </w:r>
      <w:r/>
      <w:r>
        <w:rPr/>
        <w:footnoteReference w:id="9"/>
      </w:r>
      <w:r/>
      <w:r>
        <w:rPr/>
        <w:footnoteReference w:id="13"/>
      </w:r>
      <w:r/>
      <w:r>
        <w:rPr/>
        <w:footnoteReference w:id="15"/>
      </w:r>
      <w:r/>
      <w:r>
        <w:rPr/>
        <w:footnoteReference w:id="12"/>
      </w:r>
    </w:p>
    <w:p>
      <w:r>
        <w:t>Tercera capa: indicadores de eficacia y resiliencia. Aquí se cierra el círculo comparando decisiones con resultados. Por ejemplo:</w:t>
      </w:r>
      <w:r/>
      <w:r>
        <w:br/>
        <w:t>– porcentaje de incidentes graves originados en vulnerabilidades clasificadas como Act para las que la remediación se retrasó más allá del plazo recomendado,</w:t>
      </w:r>
      <w:r/>
      <w:r>
        <w:br/>
        <w:t>– tiempo acumulado en estado “expuesto con decisión Act pendiente o no implementada” para vulnerabilidades KEV en infraestructuras críticas nacionales,</w:t>
      </w:r>
      <w:r/>
      <w:r>
        <w:br/>
        <w:t>– reducción interanual del número de vulnerabilidades con explotación activa en España que se encontraban en estado Track/Attend a pesar de afectarlos directamente, lo que señalaría una mejora en la calibración del modelo SSVC.</w:t>
      </w:r>
      <w:r/>
      <w:r>
        <w:rPr/>
        <w:footnoteReference w:id="10"/>
      </w:r>
      <w:r/>
      <w:r>
        <w:rPr/>
        <w:footnoteReference w:id="14"/>
      </w:r>
      <w:r/>
      <w:r>
        <w:rPr/>
        <w:footnoteReference w:id="9"/>
      </w:r>
      <w:r/>
      <w:r>
        <w:rPr/>
        <w:footnoteReference w:id="8"/>
      </w:r>
    </w:p>
    <w:p>
      <w:r>
        <w:t>Incluso sin un “SSVC español oficial”, estos indicadores pueden crearse a partir de la combinación de datos de CISA (Vulnrichment, KEV, SSVC enriquecido), inventario nacional de activos, y la información de incidentes gestionados por los CERT nacionales.</w:t>
      </w:r>
      <w:r/>
      <w:r>
        <w:rPr/>
        <w:footnoteReference w:id="17"/>
      </w:r>
      <w:r/>
      <w:r>
        <w:rPr/>
        <w:footnoteReference w:id="18"/>
      </w:r>
      <w:r/>
      <w:r>
        <w:rPr/>
        <w:footnoteReference w:id="8"/>
      </w:r>
      <w:r/>
      <w:r>
        <w:rPr/>
        <w:footnoteReference w:id="4"/>
      </w:r>
    </w:p>
    <w:p>
      <w:pPr>
        <w:pStyle w:val="Heading3"/>
        <w:keepNext/>
        <w:keepLines/>
      </w:pPr>
      <w:r>
        <w:t>4.3. Comparación internacional</w:t>
      </w:r>
    </w:p>
    <w:p>
      <w:r>
        <w:t>Al observar las tendencias internacionales, aparecen varios patrones útiles para España:</w:t>
      </w:r>
    </w:p>
    <w:p>
      <w:r>
        <w:t>1) Estados Unidos está usando SSVC como instrumento operativo integrado con KEV, EPSS y CVSS v4, en un modelo fuertemente automatizado y respaldado por datos públicos estructurados.</w:t>
      </w:r>
      <w:r/>
      <w:r>
        <w:rPr/>
        <w:footnoteReference w:id="9"/>
      </w:r>
      <w:r/>
      <w:r>
        <w:rPr/>
        <w:footnoteReference w:id="8"/>
      </w:r>
      <w:r/>
      <w:r>
        <w:rPr/>
        <w:footnoteReference w:id="4"/>
      </w:r>
      <w:r/>
      <w:r>
        <w:br/>
        <w:t>2) La investigación académica y aplicada muestra un creciente interés en combinar SSVC con EPSS para enfoque dinámico basado en explotación real; esto ofrece un punto de entrada para países que quieran priorizar vulnerabilidades que se explotan en su territorio, no en el planeta Marte.</w:t>
      </w:r>
      <w:r/>
      <w:r>
        <w:rPr/>
        <w:footnoteReference w:id="5"/>
      </w:r>
      <w:r/>
      <w:r>
        <w:rPr/>
        <w:footnoteReference w:id="12"/>
      </w:r>
      <w:r/>
      <w:r>
        <w:rPr/>
        <w:footnoteReference w:id="3"/>
      </w:r>
      <w:r/>
      <w:r>
        <w:br/>
        <w:t>3) La industria está incorporando SSVC como capa de gobernanza por encima de CVSS/EPSS, al tiempo que advierte de sus limitaciones de subjetividad y escalabilidad si no se apoya en automatización, telemetría y datos enriquecidos.</w:t>
      </w:r>
      <w:r/>
      <w:r>
        <w:rPr/>
        <w:footnoteReference w:id="21"/>
      </w:r>
      <w:r/>
      <w:r>
        <w:rPr/>
        <w:footnoteReference w:id="16"/>
      </w:r>
      <w:r/>
      <w:r>
        <w:rPr/>
        <w:footnoteReference w:id="13"/>
      </w:r>
      <w:r/>
      <w:r>
        <w:rPr/>
        <w:footnoteReference w:id="15"/>
      </w:r>
    </w:p>
    <w:p>
      <w:r>
        <w:t>España puede aprovechar esta curva de aprendizaje ajena y saltarse la fase de “reclasificar a mano cada CVE”, apoyándose en Vulnrichment y KEV como base y añadiendo una capa seleccionada de puntos de decisión adicionales estrictamente nacionales (por ejemplo, exposición por uso extendido de una tecnología en la Administración Pública española o en un sector crítico particular).</w:t>
      </w:r>
      <w:r/>
      <w:r>
        <w:rPr/>
        <w:footnoteReference w:id="6"/>
      </w:r>
      <w:r/>
      <w:r>
        <w:rPr/>
        <w:footnoteReference w:id="8"/>
      </w:r>
      <w:r/>
      <w:r>
        <w:rPr/>
        <w:footnoteReference w:id="4"/>
      </w:r>
    </w:p>
    <w:p>
      <w:pPr>
        <w:pStyle w:val="Heading2"/>
        <w:keepNext/>
        <w:keepLines/>
      </w:pPr>
      <w:r>
        <w:rPr>
          <w:color w:val="0066CC"/>
        </w:rPr>
        <w:t>5. Recomendaciones propositivas (con un punto de ironía controlada)</w:t>
      </w:r>
    </w:p>
    <w:p>
      <w:r>
        <w:t>Si uno imagina a un grupo de CISOs, criptógrafos cuánticos y actuarios encerrados en León con café y conectividad, el consenso sobre cómo aterrizar SSVC en España incluiría, probablemente, al menos estas líneas de acción.</w:t>
      </w:r>
    </w:p>
    <w:p>
      <w:r>
        <w:t>Primero, institucionalizar el dato. Adoptar sin complejo alguno la salida de Vulnrichment y KEV como fuente oficial de puntos de decisión SSVC base, integrándolos en las plataformas de gestión de vulnerabilidades del sector público y en los sistemas de información de INCIBE‑CERT y CCN‑CERT.  Esto implica definir un esquema de datos común y requerir, en pliegos y guías técnicas, que cualquier herramienta de vulnerabilidades soporte los campos SSVC y pueda exportarlos en formatos estándar (JSON, CSAF).</w:t>
      </w:r>
      <w:r/>
      <w:r>
        <w:rPr/>
        <w:footnoteReference w:id="7"/>
      </w:r>
      <w:r/>
      <w:r>
        <w:rPr/>
        <w:footnoteReference w:id="8"/>
      </w:r>
      <w:r/>
      <w:r>
        <w:rPr/>
        <w:footnoteReference w:id="4"/>
      </w:r>
      <w:r/>
      <w:r>
        <w:rPr/>
        <w:footnoteReference w:id="6"/>
      </w:r>
    </w:p>
    <w:p>
      <w:r>
        <w:t>Segundo, definir un modelo SSVC nacional modular. No hay necesidad de inventar un nuevo árbol desde cero, pero sí de refinar ciertos puntos de decisión para el contexto español (por ejemplo, criterios de “impacto en servicios esenciales” con referencia explícita al catálogo de servicios esenciales de la normativa NIS).  Este modelo debería estar versionado, publicado y abierto a escrutinio, al estilo de la documentación de CERT/CC, permitiendo que los operadores verifiquen por qué se les exige una acción Act y no un cómodo Track.</w:t>
      </w:r>
      <w:r/>
      <w:r>
        <w:rPr/>
        <w:footnoteReference w:id="19"/>
      </w:r>
      <w:r/>
      <w:r>
        <w:rPr/>
        <w:footnoteReference w:id="1"/>
      </w:r>
      <w:r/>
      <w:r>
        <w:rPr/>
        <w:footnoteReference w:id="2"/>
      </w:r>
      <w:r/>
      <w:r>
        <w:rPr/>
        <w:footnoteReference w:id="9"/>
      </w:r>
      <w:r/>
      <w:r>
        <w:rPr/>
        <w:footnoteReference w:id="4"/>
      </w:r>
    </w:p>
    <w:p>
      <w:r>
        <w:t>Tercero, conectar SSVC con métricas de desempeño regulatorio. NIS2 y su transposición invitan a medir la eficacia de la gestión de vulnerabilidades; usar SSVC como puente entre el riesgo técnico y las métricas reguladoras es una oportunidad demasiado tentadora como para desaprovecharla.  Tiempo de remediación sobre vulnerabilidades con decisión Act, porcentaje de backlog en categorías Act/Attend y correlación con incidentes reales son candidatos naturales para convertirse en KPIs nacionales y sectoriales.</w:t>
      </w:r>
      <w:r/>
      <w:r>
        <w:rPr/>
        <w:footnoteReference w:id="15"/>
      </w:r>
      <w:r/>
      <w:r>
        <w:rPr/>
        <w:footnoteReference w:id="14"/>
      </w:r>
      <w:r/>
      <w:r>
        <w:rPr/>
        <w:footnoteReference w:id="9"/>
      </w:r>
    </w:p>
    <w:p>
      <w:r>
        <w:t>Cuarto, explotar la sinergia con EPSS y telemetría. La investigación reciente ha demostrado que integrar EPSS y SSVC mejora la priorización y reduce costes en entornos IoT, y los informes de la industria apuntan a la misma conclusión para entornos empresariales generales.  Para España, esto se podría traducir en modelos donde un CVE con alta probabilidad de explotación (EPSS elevado) y decisión SSVC cercana a Act reciba plazos más estrictos que un CVE teóricamente crítico pero con baja probabilidad de explotación y sin evidencia de actividad en el territorio nacional.</w:t>
      </w:r>
      <w:r/>
      <w:r>
        <w:rPr/>
        <w:footnoteReference w:id="16"/>
      </w:r>
      <w:r/>
      <w:r>
        <w:rPr/>
        <w:footnoteReference w:id="12"/>
      </w:r>
      <w:r/>
      <w:r>
        <w:rPr/>
        <w:footnoteReference w:id="3"/>
      </w:r>
      <w:r/>
      <w:r>
        <w:rPr/>
        <w:footnoteReference w:id="5"/>
      </w:r>
    </w:p>
    <w:p>
      <w:r>
        <w:t>Quinto, invertir en transparencia y reproducibilidad. Una de las fortalezas de SSVC es que obliga a explicar por qué se ha tomado una decisión.  Publicar periódicamente estadísticas agregadas de decisiones SSVC nacionales (por sector, tipo de vulnerabilidad, tiempos de respuesta, etc.) no solo eleva el nivel de debate técnico, sino que ofrece a auditores, reguladores y ciudadanos una imagen clara de cómo se priorizan los riesgos que afectan a los servicios esenciales.</w:t>
      </w:r>
      <w:r/>
      <w:r>
        <w:rPr/>
        <w:footnoteReference w:id="22"/>
      </w:r>
      <w:r/>
      <w:r>
        <w:rPr/>
        <w:footnoteReference w:id="15"/>
      </w:r>
      <w:r/>
      <w:r>
        <w:rPr/>
        <w:footnoteReference w:id="2"/>
      </w:r>
    </w:p>
    <w:p>
      <w:r>
        <w:t>Y, por último, mantener la humildad epistemológica: SSVC no salvará por sí solo la Patria ni evitará que alguien configure mal un firewall un viernes a las 18:00.  Pero ofrece un lenguaje común, medible y defendible con el que articular indicadores y métricas de priorización de vulnerabilidades que tengan sentido tanto para el analista SOC de guardia en León como para el estratega de resiliencia digital en Bruselas.</w:t>
      </w:r>
      <w:r/>
      <w:r>
        <w:rPr/>
        <w:footnoteReference w:id="12"/>
      </w:r>
      <w:r/>
      <w:r>
        <w:rPr/>
        <w:footnoteReference w:id="16"/>
      </w:r>
    </w:p>
    <w:p>
      <w:r>
        <w:t>232425262728</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https://certcc.github.io/SSVC/</w:t>
      </w:r>
    </w:p>
  </w:footnote>
  <w:footnote w:id="2">
    <w:p>
      <w:pPr>
        <w:pStyle w:val="FootnoteText"/>
        <w:spacing w:line="240" w:lineRule="auto" w:after="60"/>
        <w:ind w:left="360" w:hanging="180"/>
      </w:pPr>
      <w:r>
        <w:rPr>
          <w:sz w:val="16"/>
        </w:rPr>
        <w:footnoteRef/>
      </w:r>
      <w:r>
        <w:rPr>
          <w:sz w:val="18"/>
          <w:color w:val="404040"/>
        </w:rPr>
        <w:t xml:space="preserve"> https://www.sei.cmu.edu/library/prioritizing-vulnerability-response-a-stakeholder-specific-vulnerability-categorization-version-20/</w:t>
      </w:r>
    </w:p>
  </w:footnote>
  <w:footnote w:id="2">
    <w:p>
      <w:pPr>
        <w:pStyle w:val="FootnoteText"/>
        <w:spacing w:line="240" w:lineRule="auto" w:after="60"/>
        <w:ind w:left="360" w:hanging="180"/>
      </w:pPr>
      <w:r>
        <w:rPr>
          <w:sz w:val="16"/>
        </w:rPr>
        <w:footnoteRef/>
      </w:r>
      <w:r>
        <w:rPr>
          <w:sz w:val="18"/>
          <w:color w:val="404040"/>
        </w:rPr>
        <w:t xml:space="preserve"> https://www.sei.cmu.edu/library/prioritizing-vulnerability-response-a-stakeholder-specific-vulnerability-categorization-version-20/</w:t>
      </w:r>
    </w:p>
  </w:footnote>
  <w:footnote w:id="1">
    <w:p>
      <w:pPr>
        <w:pStyle w:val="FootnoteText"/>
        <w:spacing w:line="240" w:lineRule="auto" w:after="60"/>
        <w:ind w:left="360" w:hanging="180"/>
      </w:pPr>
      <w:r>
        <w:rPr>
          <w:sz w:val="16"/>
        </w:rPr>
        <w:footnoteRef/>
      </w:r>
      <w:r>
        <w:rPr>
          <w:sz w:val="18"/>
          <w:color w:val="404040"/>
        </w:rPr>
        <w:t xml:space="preserve"> https://certcc.github.io/SSVC/</w:t>
      </w:r>
    </w:p>
  </w:footnote>
  <w:footnote w:id="1">
    <w:p>
      <w:pPr>
        <w:pStyle w:val="FootnoteText"/>
        <w:spacing w:line="240" w:lineRule="auto" w:after="60"/>
        <w:ind w:left="360" w:hanging="180"/>
      </w:pPr>
      <w:r>
        <w:rPr>
          <w:sz w:val="16"/>
        </w:rPr>
        <w:footnoteRef/>
      </w:r>
      <w:r>
        <w:rPr>
          <w:sz w:val="18"/>
          <w:color w:val="404040"/>
        </w:rPr>
        <w:t xml:space="preserve"> https://certcc.github.io/SSVC/</w:t>
      </w:r>
    </w:p>
  </w:footnote>
  <w:footnote w:id="2">
    <w:p>
      <w:pPr>
        <w:pStyle w:val="FootnoteText"/>
        <w:spacing w:line="240" w:lineRule="auto" w:after="60"/>
        <w:ind w:left="360" w:hanging="180"/>
      </w:pPr>
      <w:r>
        <w:rPr>
          <w:sz w:val="16"/>
        </w:rPr>
        <w:footnoteRef/>
      </w:r>
      <w:r>
        <w:rPr>
          <w:sz w:val="18"/>
          <w:color w:val="404040"/>
        </w:rPr>
        <w:t xml:space="preserve"> https://www.sei.cmu.edu/library/prioritizing-vulnerability-response-a-stakeholder-specific-vulnerability-categorization-version-20/</w:t>
      </w:r>
    </w:p>
  </w:footnote>
  <w:footnote w:id="3">
    <w:p>
      <w:pPr>
        <w:pStyle w:val="FootnoteText"/>
        <w:spacing w:line="240" w:lineRule="auto" w:after="60"/>
        <w:ind w:left="360" w:hanging="180"/>
      </w:pPr>
      <w:r>
        <w:rPr>
          <w:sz w:val="16"/>
        </w:rPr>
        <w:footnoteRef/>
      </w:r>
      <w:r>
        <w:rPr>
          <w:sz w:val="18"/>
          <w:color w:val="404040"/>
        </w:rPr>
        <w:t xml:space="preserve"> https://arxiv.org/html/2508.13644v1</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5">
    <w:p>
      <w:pPr>
        <w:pStyle w:val="FootnoteText"/>
        <w:spacing w:line="240" w:lineRule="auto" w:after="60"/>
        <w:ind w:left="360" w:hanging="180"/>
      </w:pPr>
      <w:r>
        <w:rPr>
          <w:sz w:val="16"/>
        </w:rPr>
        <w:footnoteRef/>
      </w:r>
      <w:r>
        <w:rPr>
          <w:sz w:val="18"/>
          <w:color w:val="404040"/>
        </w:rPr>
        <w:t xml:space="preserve"> https://orca.cardiff.ac.uk/id/eprint/185542/</w:t>
      </w:r>
    </w:p>
  </w:footnote>
  <w:footnote w:id="6">
    <w:p>
      <w:pPr>
        <w:pStyle w:val="FootnoteText"/>
        <w:spacing w:line="240" w:lineRule="auto" w:after="60"/>
        <w:ind w:left="360" w:hanging="180"/>
      </w:pPr>
      <w:r>
        <w:rPr>
          <w:sz w:val="16"/>
        </w:rPr>
        <w:footnoteRef/>
      </w:r>
      <w:r>
        <w:rPr>
          <w:sz w:val="18"/>
          <w:color w:val="404040"/>
        </w:rPr>
        <w:t xml:space="preserve"> https://www.infosecurity-magazine.com/news/cisa-launches-vulnrichment-program/</w:t>
      </w:r>
    </w:p>
  </w:footnote>
  <w:footnote w:id="7">
    <w:p>
      <w:pPr>
        <w:pStyle w:val="FootnoteText"/>
        <w:spacing w:line="240" w:lineRule="auto" w:after="60"/>
        <w:ind w:left="360" w:hanging="180"/>
      </w:pPr>
      <w:r>
        <w:rPr>
          <w:sz w:val="16"/>
        </w:rPr>
        <w:footnoteRef/>
      </w:r>
      <w:r>
        <w:rPr>
          <w:sz w:val="18"/>
          <w:color w:val="404040"/>
        </w:rPr>
        <w:t xml:space="preserve"> https://github.com/cisagov/vulnrichment</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6">
    <w:p>
      <w:pPr>
        <w:pStyle w:val="FootnoteText"/>
        <w:spacing w:line="240" w:lineRule="auto" w:after="60"/>
        <w:ind w:left="360" w:hanging="180"/>
      </w:pPr>
      <w:r>
        <w:rPr>
          <w:sz w:val="16"/>
        </w:rPr>
        <w:footnoteRef/>
      </w:r>
      <w:r>
        <w:rPr>
          <w:sz w:val="18"/>
          <w:color w:val="404040"/>
        </w:rPr>
        <w:t xml:space="preserve"> https://www.infosecurity-magazine.com/news/cisa-launches-vulnrichment-program/</w:t>
      </w:r>
    </w:p>
  </w:footnote>
  <w:footnote w:id="7">
    <w:p>
      <w:pPr>
        <w:pStyle w:val="FootnoteText"/>
        <w:spacing w:line="240" w:lineRule="auto" w:after="60"/>
        <w:ind w:left="360" w:hanging="180"/>
      </w:pPr>
      <w:r>
        <w:rPr>
          <w:sz w:val="16"/>
        </w:rPr>
        <w:footnoteRef/>
      </w:r>
      <w:r>
        <w:rPr>
          <w:sz w:val="18"/>
          <w:color w:val="404040"/>
        </w:rPr>
        <w:t xml:space="preserve"> https://github.com/cisagov/vulnrichment</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8">
    <w:p>
      <w:pPr>
        <w:pStyle w:val="FootnoteText"/>
        <w:spacing w:line="240" w:lineRule="auto" w:after="60"/>
        <w:ind w:left="360" w:hanging="180"/>
      </w:pPr>
      <w:r>
        <w:rPr>
          <w:sz w:val="16"/>
        </w:rPr>
        <w:footnoteRef/>
      </w:r>
      <w:r>
        <w:rPr>
          <w:sz w:val="18"/>
          <w:color w:val="404040"/>
        </w:rPr>
        <w:t xml:space="preserve"> https://www.runzero.com/resources/kevology/</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9">
    <w:p>
      <w:pPr>
        <w:pStyle w:val="FootnoteText"/>
        <w:spacing w:line="240" w:lineRule="auto" w:after="60"/>
        <w:ind w:left="360" w:hanging="180"/>
      </w:pPr>
      <w:r>
        <w:rPr>
          <w:sz w:val="16"/>
        </w:rPr>
        <w:footnoteRef/>
      </w:r>
      <w:r>
        <w:rPr>
          <w:sz w:val="18"/>
          <w:color w:val="404040"/>
        </w:rPr>
        <w:t xml:space="preserve"> https://industrialcyber.co/cisa/cisa-2025-year-in-review-focuses-on-driving-security-and-resilience-across-critical-infrastructure/</w:t>
      </w:r>
    </w:p>
  </w:footnote>
  <w:footnote w:id="10">
    <w:p>
      <w:pPr>
        <w:pStyle w:val="FootnoteText"/>
        <w:spacing w:line="240" w:lineRule="auto" w:after="60"/>
        <w:ind w:left="360" w:hanging="180"/>
      </w:pPr>
      <w:r>
        <w:rPr>
          <w:sz w:val="16"/>
        </w:rPr>
        <w:footnoteRef/>
      </w:r>
      <w:r>
        <w:rPr>
          <w:sz w:val="18"/>
          <w:color w:val="404040"/>
        </w:rPr>
        <w:t xml:space="preserve"> http://www.gopher.security/news/cisas-kev-catalog-grows-by-1484-vulnerabilities-in-2025</w:t>
      </w:r>
    </w:p>
  </w:footnote>
  <w:footnote w:id="9">
    <w:p>
      <w:pPr>
        <w:pStyle w:val="FootnoteText"/>
        <w:spacing w:line="240" w:lineRule="auto" w:after="60"/>
        <w:ind w:left="360" w:hanging="180"/>
      </w:pPr>
      <w:r>
        <w:rPr>
          <w:sz w:val="16"/>
        </w:rPr>
        <w:footnoteRef/>
      </w:r>
      <w:r>
        <w:rPr>
          <w:sz w:val="18"/>
          <w:color w:val="404040"/>
        </w:rPr>
        <w:t xml:space="preserve"> https://industrialcyber.co/cisa/cisa-2025-year-in-review-focuses-on-driving-security-and-resilience-across-critical-infrastructure/</w:t>
      </w:r>
    </w:p>
  </w:footnote>
  <w:footnote w:id="8">
    <w:p>
      <w:pPr>
        <w:pStyle w:val="FootnoteText"/>
        <w:spacing w:line="240" w:lineRule="auto" w:after="60"/>
        <w:ind w:left="360" w:hanging="180"/>
      </w:pPr>
      <w:r>
        <w:rPr>
          <w:sz w:val="16"/>
        </w:rPr>
        <w:footnoteRef/>
      </w:r>
      <w:r>
        <w:rPr>
          <w:sz w:val="18"/>
          <w:color w:val="404040"/>
        </w:rPr>
        <w:t xml:space="preserve"> https://www.runzero.com/resources/kevology/</w:t>
      </w:r>
    </w:p>
  </w:footnote>
  <w:footnote w:id="6">
    <w:p>
      <w:pPr>
        <w:pStyle w:val="FootnoteText"/>
        <w:spacing w:line="240" w:lineRule="auto" w:after="60"/>
        <w:ind w:left="360" w:hanging="180"/>
      </w:pPr>
      <w:r>
        <w:rPr>
          <w:sz w:val="16"/>
        </w:rPr>
        <w:footnoteRef/>
      </w:r>
      <w:r>
        <w:rPr>
          <w:sz w:val="18"/>
          <w:color w:val="404040"/>
        </w:rPr>
        <w:t xml:space="preserve"> https://www.infosecurity-magazine.com/news/cisa-launches-vulnrichment-program/</w:t>
      </w:r>
    </w:p>
  </w:footnote>
  <w:footnote w:id="8">
    <w:p>
      <w:pPr>
        <w:pStyle w:val="FootnoteText"/>
        <w:spacing w:line="240" w:lineRule="auto" w:after="60"/>
        <w:ind w:left="360" w:hanging="180"/>
      </w:pPr>
      <w:r>
        <w:rPr>
          <w:sz w:val="16"/>
        </w:rPr>
        <w:footnoteRef/>
      </w:r>
      <w:r>
        <w:rPr>
          <w:sz w:val="18"/>
          <w:color w:val="404040"/>
        </w:rPr>
        <w:t xml:space="preserve"> https://www.runzero.com/resources/kevology/</w:t>
      </w:r>
    </w:p>
  </w:footnote>
  <w:footnote w:id="3">
    <w:p>
      <w:pPr>
        <w:pStyle w:val="FootnoteText"/>
        <w:spacing w:line="240" w:lineRule="auto" w:after="60"/>
        <w:ind w:left="360" w:hanging="180"/>
      </w:pPr>
      <w:r>
        <w:rPr>
          <w:sz w:val="16"/>
        </w:rPr>
        <w:footnoteRef/>
      </w:r>
      <w:r>
        <w:rPr>
          <w:sz w:val="18"/>
          <w:color w:val="404040"/>
        </w:rPr>
        <w:t xml:space="preserve"> https://arxiv.org/html/2508.13644v1</w:t>
      </w:r>
    </w:p>
  </w:footnote>
  <w:footnote w:id="11">
    <w:p>
      <w:pPr>
        <w:pStyle w:val="FootnoteText"/>
        <w:spacing w:line="240" w:lineRule="auto" w:after="60"/>
        <w:ind w:left="360" w:hanging="180"/>
      </w:pPr>
      <w:r>
        <w:rPr>
          <w:sz w:val="16"/>
        </w:rPr>
        <w:footnoteRef/>
      </w:r>
      <w:r>
        <w:rPr>
          <w:sz w:val="18"/>
          <w:color w:val="404040"/>
        </w:rPr>
        <w:t xml:space="preserve"> https://ieeexplore.ieee.org/iel8/10250155/10250156/11435577.pdf</w:t>
      </w:r>
    </w:p>
  </w:footnote>
  <w:footnote w:id="5">
    <w:p>
      <w:pPr>
        <w:pStyle w:val="FootnoteText"/>
        <w:spacing w:line="240" w:lineRule="auto" w:after="60"/>
        <w:ind w:left="360" w:hanging="180"/>
      </w:pPr>
      <w:r>
        <w:rPr>
          <w:sz w:val="16"/>
        </w:rPr>
        <w:footnoteRef/>
      </w:r>
      <w:r>
        <w:rPr>
          <w:sz w:val="18"/>
          <w:color w:val="404040"/>
        </w:rPr>
        <w:t xml:space="preserve"> https://orca.cardiff.ac.uk/id/eprint/185542/</w:t>
      </w:r>
    </w:p>
  </w:footnote>
  <w:footnote w:id="12">
    <w:p>
      <w:pPr>
        <w:pStyle w:val="FootnoteText"/>
        <w:spacing w:line="240" w:lineRule="auto" w:after="60"/>
        <w:ind w:left="360" w:hanging="180"/>
      </w:pPr>
      <w:r>
        <w:rPr>
          <w:sz w:val="16"/>
        </w:rPr>
        <w:footnoteRef/>
      </w:r>
      <w:r>
        <w:rPr>
          <w:sz w:val="18"/>
          <w:color w:val="404040"/>
        </w:rPr>
        <w:t xml:space="preserve"> https://version-2.com.sg/2025/05/cvss-epss-and-ssvc-how-to-read-between-the-vulnerability-scores/</w:t>
      </w:r>
    </w:p>
  </w:footnote>
  <w:footnote w:id="11">
    <w:p>
      <w:pPr>
        <w:pStyle w:val="FootnoteText"/>
        <w:spacing w:line="240" w:lineRule="auto" w:after="60"/>
        <w:ind w:left="360" w:hanging="180"/>
      </w:pPr>
      <w:r>
        <w:rPr>
          <w:sz w:val="16"/>
        </w:rPr>
        <w:footnoteRef/>
      </w:r>
      <w:r>
        <w:rPr>
          <w:sz w:val="18"/>
          <w:color w:val="404040"/>
        </w:rPr>
        <w:t xml:space="preserve"> https://ieeexplore.ieee.org/iel8/10250155/10250156/11435577.pdf</w:t>
      </w:r>
    </w:p>
  </w:footnote>
  <w:footnote w:id="5">
    <w:p>
      <w:pPr>
        <w:pStyle w:val="FootnoteText"/>
        <w:spacing w:line="240" w:lineRule="auto" w:after="60"/>
        <w:ind w:left="360" w:hanging="180"/>
      </w:pPr>
      <w:r>
        <w:rPr>
          <w:sz w:val="16"/>
        </w:rPr>
        <w:footnoteRef/>
      </w:r>
      <w:r>
        <w:rPr>
          <w:sz w:val="18"/>
          <w:color w:val="404040"/>
        </w:rPr>
        <w:t xml:space="preserve"> https://orca.cardiff.ac.uk/id/eprint/185542/</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2">
    <w:p>
      <w:pPr>
        <w:pStyle w:val="FootnoteText"/>
        <w:spacing w:line="240" w:lineRule="auto" w:after="60"/>
        <w:ind w:left="360" w:hanging="180"/>
      </w:pPr>
      <w:r>
        <w:rPr>
          <w:sz w:val="16"/>
        </w:rPr>
        <w:footnoteRef/>
      </w:r>
      <w:r>
        <w:rPr>
          <w:sz w:val="18"/>
          <w:color w:val="404040"/>
        </w:rPr>
        <w:t xml:space="preserve"> https://www.sei.cmu.edu/library/prioritizing-vulnerability-response-a-stakeholder-specific-vulnerability-categorization-version-20/</w:t>
      </w:r>
    </w:p>
  </w:footnote>
  <w:footnote w:id="2">
    <w:p>
      <w:pPr>
        <w:pStyle w:val="FootnoteText"/>
        <w:spacing w:line="240" w:lineRule="auto" w:after="60"/>
        <w:ind w:left="360" w:hanging="180"/>
      </w:pPr>
      <w:r>
        <w:rPr>
          <w:sz w:val="16"/>
        </w:rPr>
        <w:footnoteRef/>
      </w:r>
      <w:r>
        <w:rPr>
          <w:sz w:val="18"/>
          <w:color w:val="404040"/>
        </w:rPr>
        <w:t xml:space="preserve"> https://www.sei.cmu.edu/library/prioritizing-vulnerability-response-a-stakeholder-specific-vulnerability-categorization-version-20/</w:t>
      </w:r>
    </w:p>
  </w:footnote>
  <w:footnote w:id="1">
    <w:p>
      <w:pPr>
        <w:pStyle w:val="FootnoteText"/>
        <w:spacing w:line="240" w:lineRule="auto" w:after="60"/>
        <w:ind w:left="360" w:hanging="180"/>
      </w:pPr>
      <w:r>
        <w:rPr>
          <w:sz w:val="16"/>
        </w:rPr>
        <w:footnoteRef/>
      </w:r>
      <w:r>
        <w:rPr>
          <w:sz w:val="18"/>
          <w:color w:val="404040"/>
        </w:rPr>
        <w:t xml:space="preserve"> https://certcc.github.io/SSVC/</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13">
    <w:p>
      <w:pPr>
        <w:pStyle w:val="FootnoteText"/>
        <w:spacing w:line="240" w:lineRule="auto" w:after="60"/>
        <w:ind w:left="360" w:hanging="180"/>
      </w:pPr>
      <w:r>
        <w:rPr>
          <w:sz w:val="16"/>
        </w:rPr>
        <w:footnoteRef/>
      </w:r>
      <w:r>
        <w:rPr>
          <w:sz w:val="18"/>
          <w:color w:val="404040"/>
        </w:rPr>
        <w:t xml:space="preserve"> https://www.wiz.io/academy/vulnerability-management/vulnerability-prioritization</w:t>
      </w:r>
    </w:p>
  </w:footnote>
  <w:footnote w:id="1">
    <w:p>
      <w:pPr>
        <w:pStyle w:val="FootnoteText"/>
        <w:spacing w:line="240" w:lineRule="auto" w:after="60"/>
        <w:ind w:left="360" w:hanging="180"/>
      </w:pPr>
      <w:r>
        <w:rPr>
          <w:sz w:val="16"/>
        </w:rPr>
        <w:footnoteRef/>
      </w:r>
      <w:r>
        <w:rPr>
          <w:sz w:val="18"/>
          <w:color w:val="404040"/>
        </w:rPr>
        <w:t xml:space="preserve"> https://certcc.github.io/SSVC/</w:t>
      </w:r>
    </w:p>
  </w:footnote>
  <w:footnote w:id="2">
    <w:p>
      <w:pPr>
        <w:pStyle w:val="FootnoteText"/>
        <w:spacing w:line="240" w:lineRule="auto" w:after="60"/>
        <w:ind w:left="360" w:hanging="180"/>
      </w:pPr>
      <w:r>
        <w:rPr>
          <w:sz w:val="16"/>
        </w:rPr>
        <w:footnoteRef/>
      </w:r>
      <w:r>
        <w:rPr>
          <w:sz w:val="18"/>
          <w:color w:val="404040"/>
        </w:rPr>
        <w:t xml:space="preserve"> https://www.sei.cmu.edu/library/prioritizing-vulnerability-response-a-stakeholder-specific-vulnerability-categorization-version-20/</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8">
    <w:p>
      <w:pPr>
        <w:pStyle w:val="FootnoteText"/>
        <w:spacing w:line="240" w:lineRule="auto" w:after="60"/>
        <w:ind w:left="360" w:hanging="180"/>
      </w:pPr>
      <w:r>
        <w:rPr>
          <w:sz w:val="16"/>
        </w:rPr>
        <w:footnoteRef/>
      </w:r>
      <w:r>
        <w:rPr>
          <w:sz w:val="18"/>
          <w:color w:val="404040"/>
        </w:rPr>
        <w:t xml:space="preserve"> https://www.runzero.com/resources/kevology/</w:t>
      </w:r>
    </w:p>
  </w:footnote>
  <w:footnote w:id="6">
    <w:p>
      <w:pPr>
        <w:pStyle w:val="FootnoteText"/>
        <w:spacing w:line="240" w:lineRule="auto" w:after="60"/>
        <w:ind w:left="360" w:hanging="180"/>
      </w:pPr>
      <w:r>
        <w:rPr>
          <w:sz w:val="16"/>
        </w:rPr>
        <w:footnoteRef/>
      </w:r>
      <w:r>
        <w:rPr>
          <w:sz w:val="18"/>
          <w:color w:val="404040"/>
        </w:rPr>
        <w:t xml:space="preserve"> https://www.infosecurity-magazine.com/news/cisa-launches-vulnrichment-program/</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14">
    <w:p>
      <w:pPr>
        <w:pStyle w:val="FootnoteText"/>
        <w:spacing w:line="240" w:lineRule="auto" w:after="60"/>
        <w:ind w:left="360" w:hanging="180"/>
      </w:pPr>
      <w:r>
        <w:rPr>
          <w:sz w:val="16"/>
        </w:rPr>
        <w:footnoteRef/>
      </w:r>
      <w:r>
        <w:rPr>
          <w:sz w:val="18"/>
          <w:color w:val="404040"/>
        </w:rPr>
        <w:t xml:space="preserve"> https://5262266.fs1.hubspotusercontent-na1.net/hubfs/5262266/2025 Assets/2025 State of Vulnerability Management \&amp; Remediation Report.pdf</w:t>
      </w:r>
    </w:p>
  </w:footnote>
  <w:footnote w:id="9">
    <w:p>
      <w:pPr>
        <w:pStyle w:val="FootnoteText"/>
        <w:spacing w:line="240" w:lineRule="auto" w:after="60"/>
        <w:ind w:left="360" w:hanging="180"/>
      </w:pPr>
      <w:r>
        <w:rPr>
          <w:sz w:val="16"/>
        </w:rPr>
        <w:footnoteRef/>
      </w:r>
      <w:r>
        <w:rPr>
          <w:sz w:val="18"/>
          <w:color w:val="404040"/>
        </w:rPr>
        <w:t xml:space="preserve"> https://industrialcyber.co/cisa/cisa-2025-year-in-review-focuses-on-driving-security-and-resilience-across-critical-infrastructure/</w:t>
      </w:r>
    </w:p>
  </w:footnote>
  <w:footnote w:id="13">
    <w:p>
      <w:pPr>
        <w:pStyle w:val="FootnoteText"/>
        <w:spacing w:line="240" w:lineRule="auto" w:after="60"/>
        <w:ind w:left="360" w:hanging="180"/>
      </w:pPr>
      <w:r>
        <w:rPr>
          <w:sz w:val="16"/>
        </w:rPr>
        <w:footnoteRef/>
      </w:r>
      <w:r>
        <w:rPr>
          <w:sz w:val="18"/>
          <w:color w:val="404040"/>
        </w:rPr>
        <w:t xml:space="preserve"> https://www.wiz.io/academy/vulnerability-management/vulnerability-prioritization</w:t>
      </w:r>
    </w:p>
  </w:footnote>
  <w:footnote w:id="8">
    <w:p>
      <w:pPr>
        <w:pStyle w:val="FootnoteText"/>
        <w:spacing w:line="240" w:lineRule="auto" w:after="60"/>
        <w:ind w:left="360" w:hanging="180"/>
      </w:pPr>
      <w:r>
        <w:rPr>
          <w:sz w:val="16"/>
        </w:rPr>
        <w:footnoteRef/>
      </w:r>
      <w:r>
        <w:rPr>
          <w:sz w:val="18"/>
          <w:color w:val="404040"/>
        </w:rPr>
        <w:t xml:space="preserve"> https://www.runzero.com/resources/kevology/</w:t>
      </w:r>
    </w:p>
  </w:footnote>
  <w:footnote w:id="15">
    <w:p>
      <w:pPr>
        <w:pStyle w:val="FootnoteText"/>
        <w:spacing w:line="240" w:lineRule="auto" w:after="60"/>
        <w:ind w:left="360" w:hanging="180"/>
      </w:pPr>
      <w:r>
        <w:rPr>
          <w:sz w:val="16"/>
        </w:rPr>
        <w:footnoteRef/>
      </w:r>
      <w:r>
        <w:rPr>
          <w:sz w:val="18"/>
          <w:color w:val="404040"/>
        </w:rPr>
        <w:t xml:space="preserve"> https://nucleussec.com/blog/5-things-to-consider-before-using-ssvc-to-automate-vulnerability-prioritization/</w:t>
      </w:r>
    </w:p>
  </w:footnote>
  <w:footnote w:id="16">
    <w:p>
      <w:pPr>
        <w:pStyle w:val="FootnoteText"/>
        <w:spacing w:line="240" w:lineRule="auto" w:after="60"/>
        <w:ind w:left="360" w:hanging="180"/>
      </w:pPr>
      <w:r>
        <w:rPr>
          <w:sz w:val="16"/>
        </w:rPr>
        <w:footnoteRef/>
      </w:r>
      <w:r>
        <w:rPr>
          <w:sz w:val="18"/>
          <w:color w:val="404040"/>
        </w:rPr>
        <w:t xml:space="preserve"> https://www.picussecurity.com/resource/blog/comparing-cvss-epss-kev-ssvc-lev-and-pxs-from-scores-to-security-proof</w:t>
      </w:r>
    </w:p>
  </w:footnote>
  <w:footnote w:id="13">
    <w:p>
      <w:pPr>
        <w:pStyle w:val="FootnoteText"/>
        <w:spacing w:line="240" w:lineRule="auto" w:after="60"/>
        <w:ind w:left="360" w:hanging="180"/>
      </w:pPr>
      <w:r>
        <w:rPr>
          <w:sz w:val="16"/>
        </w:rPr>
        <w:footnoteRef/>
      </w:r>
      <w:r>
        <w:rPr>
          <w:sz w:val="18"/>
          <w:color w:val="404040"/>
        </w:rPr>
        <w:t xml:space="preserve"> https://www.wiz.io/academy/vulnerability-management/vulnerability-prioritization</w:t>
      </w:r>
    </w:p>
  </w:footnote>
  <w:footnote w:id="14">
    <w:p>
      <w:pPr>
        <w:pStyle w:val="FootnoteText"/>
        <w:spacing w:line="240" w:lineRule="auto" w:after="60"/>
        <w:ind w:left="360" w:hanging="180"/>
      </w:pPr>
      <w:r>
        <w:rPr>
          <w:sz w:val="16"/>
        </w:rPr>
        <w:footnoteRef/>
      </w:r>
      <w:r>
        <w:rPr>
          <w:sz w:val="18"/>
          <w:color w:val="404040"/>
        </w:rPr>
        <w:t xml:space="preserve"> https://5262266.fs1.hubspotusercontent-na1.net/hubfs/5262266/2025 Assets/2025 State of Vulnerability Management \&amp; Remediation Report.pdf</w:t>
      </w:r>
    </w:p>
  </w:footnote>
  <w:footnote w:id="17">
    <w:p>
      <w:pPr>
        <w:pStyle w:val="FootnoteText"/>
        <w:spacing w:line="240" w:lineRule="auto" w:after="60"/>
        <w:ind w:left="360" w:hanging="180"/>
      </w:pPr>
      <w:r>
        <w:rPr>
          <w:sz w:val="16"/>
        </w:rPr>
        <w:footnoteRef/>
      </w:r>
      <w:r>
        <w:rPr>
          <w:sz w:val="18"/>
          <w:color w:val="404040"/>
        </w:rPr>
        <w:t xml:space="preserve"> https://www.incibe.es/en/incibe-cert/about-us/what-is-incibe-cert</w:t>
      </w:r>
    </w:p>
  </w:footnote>
  <w:footnote w:id="18">
    <w:p>
      <w:pPr>
        <w:pStyle w:val="FootnoteText"/>
        <w:spacing w:line="240" w:lineRule="auto" w:after="60"/>
        <w:ind w:left="360" w:hanging="180"/>
      </w:pPr>
      <w:r>
        <w:rPr>
          <w:sz w:val="16"/>
        </w:rPr>
        <w:footnoteRef/>
      </w:r>
      <w:r>
        <w:rPr>
          <w:sz w:val="18"/>
          <w:color w:val="404040"/>
        </w:rPr>
        <w:t xml:space="preserve"> https://www.trusted-introducer.org/trusted-introducer/directory/teams/incibe-cert/</w:t>
      </w:r>
    </w:p>
  </w:footnote>
  <w:footnote w:id="18">
    <w:p>
      <w:pPr>
        <w:pStyle w:val="FootnoteText"/>
        <w:spacing w:line="240" w:lineRule="auto" w:after="60"/>
        <w:ind w:left="360" w:hanging="180"/>
      </w:pPr>
      <w:r>
        <w:rPr>
          <w:sz w:val="16"/>
        </w:rPr>
        <w:footnoteRef/>
      </w:r>
      <w:r>
        <w:rPr>
          <w:sz w:val="18"/>
          <w:color w:val="404040"/>
        </w:rPr>
        <w:t xml:space="preserve"> https://www.trusted-introducer.org/trusted-introducer/directory/teams/incibe-cert/</w:t>
      </w:r>
    </w:p>
  </w:footnote>
  <w:footnote w:id="19">
    <w:p>
      <w:pPr>
        <w:pStyle w:val="FootnoteText"/>
        <w:spacing w:line="240" w:lineRule="auto" w:after="60"/>
        <w:ind w:left="360" w:hanging="180"/>
      </w:pPr>
      <w:r>
        <w:rPr>
          <w:sz w:val="16"/>
        </w:rPr>
        <w:footnoteRef/>
      </w:r>
      <w:r>
        <w:rPr>
          <w:sz w:val="18"/>
          <w:color w:val="404040"/>
        </w:rPr>
        <w:t xml:space="preserve"> https://www.incibe.es/en/incibe/corporate-information/who-we-work-with/european-projects</w:t>
      </w:r>
    </w:p>
  </w:footnote>
  <w:footnote w:id="19">
    <w:p>
      <w:pPr>
        <w:pStyle w:val="FootnoteText"/>
        <w:spacing w:line="240" w:lineRule="auto" w:after="60"/>
        <w:ind w:left="360" w:hanging="180"/>
      </w:pPr>
      <w:r>
        <w:rPr>
          <w:sz w:val="16"/>
        </w:rPr>
        <w:footnoteRef/>
      </w:r>
      <w:r>
        <w:rPr>
          <w:sz w:val="18"/>
          <w:color w:val="404040"/>
        </w:rPr>
        <w:t xml:space="preserve"> https://www.incibe.es/en/incibe/corporate-information/who-we-work-with/european-projects</w:t>
      </w:r>
    </w:p>
  </w:footnote>
  <w:footnote w:id="20">
    <w:p>
      <w:pPr>
        <w:pStyle w:val="FootnoteText"/>
        <w:spacing w:line="240" w:lineRule="auto" w:after="60"/>
        <w:ind w:left="360" w:hanging="180"/>
      </w:pPr>
      <w:r>
        <w:rPr>
          <w:sz w:val="16"/>
        </w:rPr>
        <w:footnoteRef/>
      </w:r>
      <w:r>
        <w:rPr>
          <w:sz w:val="18"/>
          <w:color w:val="404040"/>
        </w:rPr>
        <w:t xml:space="preserve"> https://www.first.org/conference/vulncon2025/program</w:t>
      </w:r>
    </w:p>
  </w:footnote>
  <w:footnote w:id="9">
    <w:p>
      <w:pPr>
        <w:pStyle w:val="FootnoteText"/>
        <w:spacing w:line="240" w:lineRule="auto" w:after="60"/>
        <w:ind w:left="360" w:hanging="180"/>
      </w:pPr>
      <w:r>
        <w:rPr>
          <w:sz w:val="16"/>
        </w:rPr>
        <w:footnoteRef/>
      </w:r>
      <w:r>
        <w:rPr>
          <w:sz w:val="18"/>
          <w:color w:val="404040"/>
        </w:rPr>
        <w:t xml:space="preserve"> https://industrialcyber.co/cisa/cisa-2025-year-in-review-focuses-on-driving-security-and-resilience-across-critical-infrastructure/</w:t>
      </w:r>
    </w:p>
  </w:footnote>
  <w:footnote w:id="7">
    <w:p>
      <w:pPr>
        <w:pStyle w:val="FootnoteText"/>
        <w:spacing w:line="240" w:lineRule="auto" w:after="60"/>
        <w:ind w:left="360" w:hanging="180"/>
      </w:pPr>
      <w:r>
        <w:rPr>
          <w:sz w:val="16"/>
        </w:rPr>
        <w:footnoteRef/>
      </w:r>
      <w:r>
        <w:rPr>
          <w:sz w:val="18"/>
          <w:color w:val="404040"/>
        </w:rPr>
        <w:t xml:space="preserve"> https://github.com/cisagov/vulnrichment</w:t>
      </w:r>
    </w:p>
  </w:footnote>
  <w:footnote w:id="6">
    <w:p>
      <w:pPr>
        <w:pStyle w:val="FootnoteText"/>
        <w:spacing w:line="240" w:lineRule="auto" w:after="60"/>
        <w:ind w:left="360" w:hanging="180"/>
      </w:pPr>
      <w:r>
        <w:rPr>
          <w:sz w:val="16"/>
        </w:rPr>
        <w:footnoteRef/>
      </w:r>
      <w:r>
        <w:rPr>
          <w:sz w:val="18"/>
          <w:color w:val="404040"/>
        </w:rPr>
        <w:t xml:space="preserve"> https://www.infosecurity-magazine.com/news/cisa-launches-vulnrichment-program/</w:t>
      </w:r>
    </w:p>
  </w:footnote>
  <w:footnote w:id="8">
    <w:p>
      <w:pPr>
        <w:pStyle w:val="FootnoteText"/>
        <w:spacing w:line="240" w:lineRule="auto" w:after="60"/>
        <w:ind w:left="360" w:hanging="180"/>
      </w:pPr>
      <w:r>
        <w:rPr>
          <w:sz w:val="16"/>
        </w:rPr>
        <w:footnoteRef/>
      </w:r>
      <w:r>
        <w:rPr>
          <w:sz w:val="18"/>
          <w:color w:val="404040"/>
        </w:rPr>
        <w:t xml:space="preserve"> https://www.runzero.com/resources/kevology/</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9">
    <w:p>
      <w:pPr>
        <w:pStyle w:val="FootnoteText"/>
        <w:spacing w:line="240" w:lineRule="auto" w:after="60"/>
        <w:ind w:left="360" w:hanging="180"/>
      </w:pPr>
      <w:r>
        <w:rPr>
          <w:sz w:val="16"/>
        </w:rPr>
        <w:footnoteRef/>
      </w:r>
      <w:r>
        <w:rPr>
          <w:sz w:val="18"/>
          <w:color w:val="404040"/>
        </w:rPr>
        <w:t xml:space="preserve"> https://industrialcyber.co/cisa/cisa-2025-year-in-review-focuses-on-driving-security-and-resilience-across-critical-infrastructure/</w:t>
      </w:r>
    </w:p>
  </w:footnote>
  <w:footnote w:id="13">
    <w:p>
      <w:pPr>
        <w:pStyle w:val="FootnoteText"/>
        <w:spacing w:line="240" w:lineRule="auto" w:after="60"/>
        <w:ind w:left="360" w:hanging="180"/>
      </w:pPr>
      <w:r>
        <w:rPr>
          <w:sz w:val="16"/>
        </w:rPr>
        <w:footnoteRef/>
      </w:r>
      <w:r>
        <w:rPr>
          <w:sz w:val="18"/>
          <w:color w:val="404040"/>
        </w:rPr>
        <w:t xml:space="preserve"> https://www.wiz.io/academy/vulnerability-management/vulnerability-prioritization</w:t>
      </w:r>
    </w:p>
  </w:footnote>
  <w:footnote w:id="15">
    <w:p>
      <w:pPr>
        <w:pStyle w:val="FootnoteText"/>
        <w:spacing w:line="240" w:lineRule="auto" w:after="60"/>
        <w:ind w:left="360" w:hanging="180"/>
      </w:pPr>
      <w:r>
        <w:rPr>
          <w:sz w:val="16"/>
        </w:rPr>
        <w:footnoteRef/>
      </w:r>
      <w:r>
        <w:rPr>
          <w:sz w:val="18"/>
          <w:color w:val="404040"/>
        </w:rPr>
        <w:t xml:space="preserve"> https://nucleussec.com/blog/5-things-to-consider-before-using-ssvc-to-automate-vulnerability-prioritization/</w:t>
      </w:r>
    </w:p>
  </w:footnote>
  <w:footnote w:id="12">
    <w:p>
      <w:pPr>
        <w:pStyle w:val="FootnoteText"/>
        <w:spacing w:line="240" w:lineRule="auto" w:after="60"/>
        <w:ind w:left="360" w:hanging="180"/>
      </w:pPr>
      <w:r>
        <w:rPr>
          <w:sz w:val="16"/>
        </w:rPr>
        <w:footnoteRef/>
      </w:r>
      <w:r>
        <w:rPr>
          <w:sz w:val="18"/>
          <w:color w:val="404040"/>
        </w:rPr>
        <w:t xml:space="preserve"> https://version-2.com.sg/2025/05/cvss-epss-and-ssvc-how-to-read-between-the-vulnerability-scores/</w:t>
      </w:r>
    </w:p>
  </w:footnote>
  <w:footnote w:id="10">
    <w:p>
      <w:pPr>
        <w:pStyle w:val="FootnoteText"/>
        <w:spacing w:line="240" w:lineRule="auto" w:after="60"/>
        <w:ind w:left="360" w:hanging="180"/>
      </w:pPr>
      <w:r>
        <w:rPr>
          <w:sz w:val="16"/>
        </w:rPr>
        <w:footnoteRef/>
      </w:r>
      <w:r>
        <w:rPr>
          <w:sz w:val="18"/>
          <w:color w:val="404040"/>
        </w:rPr>
        <w:t xml:space="preserve"> http://www.gopher.security/news/cisas-kev-catalog-grows-by-1484-vulnerabilities-in-2025</w:t>
      </w:r>
    </w:p>
  </w:footnote>
  <w:footnote w:id="14">
    <w:p>
      <w:pPr>
        <w:pStyle w:val="FootnoteText"/>
        <w:spacing w:line="240" w:lineRule="auto" w:after="60"/>
        <w:ind w:left="360" w:hanging="180"/>
      </w:pPr>
      <w:r>
        <w:rPr>
          <w:sz w:val="16"/>
        </w:rPr>
        <w:footnoteRef/>
      </w:r>
      <w:r>
        <w:rPr>
          <w:sz w:val="18"/>
          <w:color w:val="404040"/>
        </w:rPr>
        <w:t xml:space="preserve"> https://5262266.fs1.hubspotusercontent-na1.net/hubfs/5262266/2025 Assets/2025 State of Vulnerability Management \&amp; Remediation Report.pdf</w:t>
      </w:r>
    </w:p>
  </w:footnote>
  <w:footnote w:id="9">
    <w:p>
      <w:pPr>
        <w:pStyle w:val="FootnoteText"/>
        <w:spacing w:line="240" w:lineRule="auto" w:after="60"/>
        <w:ind w:left="360" w:hanging="180"/>
      </w:pPr>
      <w:r>
        <w:rPr>
          <w:sz w:val="16"/>
        </w:rPr>
        <w:footnoteRef/>
      </w:r>
      <w:r>
        <w:rPr>
          <w:sz w:val="18"/>
          <w:color w:val="404040"/>
        </w:rPr>
        <w:t xml:space="preserve"> https://industrialcyber.co/cisa/cisa-2025-year-in-review-focuses-on-driving-security-and-resilience-across-critical-infrastructure/</w:t>
      </w:r>
    </w:p>
  </w:footnote>
  <w:footnote w:id="8">
    <w:p>
      <w:pPr>
        <w:pStyle w:val="FootnoteText"/>
        <w:spacing w:line="240" w:lineRule="auto" w:after="60"/>
        <w:ind w:left="360" w:hanging="180"/>
      </w:pPr>
      <w:r>
        <w:rPr>
          <w:sz w:val="16"/>
        </w:rPr>
        <w:footnoteRef/>
      </w:r>
      <w:r>
        <w:rPr>
          <w:sz w:val="18"/>
          <w:color w:val="404040"/>
        </w:rPr>
        <w:t xml:space="preserve"> https://www.runzero.com/resources/kevology/</w:t>
      </w:r>
    </w:p>
  </w:footnote>
  <w:footnote w:id="17">
    <w:p>
      <w:pPr>
        <w:pStyle w:val="FootnoteText"/>
        <w:spacing w:line="240" w:lineRule="auto" w:after="60"/>
        <w:ind w:left="360" w:hanging="180"/>
      </w:pPr>
      <w:r>
        <w:rPr>
          <w:sz w:val="16"/>
        </w:rPr>
        <w:footnoteRef/>
      </w:r>
      <w:r>
        <w:rPr>
          <w:sz w:val="18"/>
          <w:color w:val="404040"/>
        </w:rPr>
        <w:t xml:space="preserve"> https://www.incibe.es/en/incibe-cert/about-us/what-is-incibe-cert</w:t>
      </w:r>
    </w:p>
  </w:footnote>
  <w:footnote w:id="18">
    <w:p>
      <w:pPr>
        <w:pStyle w:val="FootnoteText"/>
        <w:spacing w:line="240" w:lineRule="auto" w:after="60"/>
        <w:ind w:left="360" w:hanging="180"/>
      </w:pPr>
      <w:r>
        <w:rPr>
          <w:sz w:val="16"/>
        </w:rPr>
        <w:footnoteRef/>
      </w:r>
      <w:r>
        <w:rPr>
          <w:sz w:val="18"/>
          <w:color w:val="404040"/>
        </w:rPr>
        <w:t xml:space="preserve"> https://www.trusted-introducer.org/trusted-introducer/directory/teams/incibe-cert/</w:t>
      </w:r>
    </w:p>
  </w:footnote>
  <w:footnote w:id="8">
    <w:p>
      <w:pPr>
        <w:pStyle w:val="FootnoteText"/>
        <w:spacing w:line="240" w:lineRule="auto" w:after="60"/>
        <w:ind w:left="360" w:hanging="180"/>
      </w:pPr>
      <w:r>
        <w:rPr>
          <w:sz w:val="16"/>
        </w:rPr>
        <w:footnoteRef/>
      </w:r>
      <w:r>
        <w:rPr>
          <w:sz w:val="18"/>
          <w:color w:val="404040"/>
        </w:rPr>
        <w:t xml:space="preserve"> https://www.runzero.com/resources/kevology/</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9">
    <w:p>
      <w:pPr>
        <w:pStyle w:val="FootnoteText"/>
        <w:spacing w:line="240" w:lineRule="auto" w:after="60"/>
        <w:ind w:left="360" w:hanging="180"/>
      </w:pPr>
      <w:r>
        <w:rPr>
          <w:sz w:val="16"/>
        </w:rPr>
        <w:footnoteRef/>
      </w:r>
      <w:r>
        <w:rPr>
          <w:sz w:val="18"/>
          <w:color w:val="404040"/>
        </w:rPr>
        <w:t xml:space="preserve"> https://industrialcyber.co/cisa/cisa-2025-year-in-review-focuses-on-driving-security-and-resilience-across-critical-infrastructure/</w:t>
      </w:r>
    </w:p>
  </w:footnote>
  <w:footnote w:id="8">
    <w:p>
      <w:pPr>
        <w:pStyle w:val="FootnoteText"/>
        <w:spacing w:line="240" w:lineRule="auto" w:after="60"/>
        <w:ind w:left="360" w:hanging="180"/>
      </w:pPr>
      <w:r>
        <w:rPr>
          <w:sz w:val="16"/>
        </w:rPr>
        <w:footnoteRef/>
      </w:r>
      <w:r>
        <w:rPr>
          <w:sz w:val="18"/>
          <w:color w:val="404040"/>
        </w:rPr>
        <w:t xml:space="preserve"> https://www.runzero.com/resources/kevology/</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5">
    <w:p>
      <w:pPr>
        <w:pStyle w:val="FootnoteText"/>
        <w:spacing w:line="240" w:lineRule="auto" w:after="60"/>
        <w:ind w:left="360" w:hanging="180"/>
      </w:pPr>
      <w:r>
        <w:rPr>
          <w:sz w:val="16"/>
        </w:rPr>
        <w:footnoteRef/>
      </w:r>
      <w:r>
        <w:rPr>
          <w:sz w:val="18"/>
          <w:color w:val="404040"/>
        </w:rPr>
        <w:t xml:space="preserve"> https://orca.cardiff.ac.uk/id/eprint/185542/</w:t>
      </w:r>
    </w:p>
  </w:footnote>
  <w:footnote w:id="12">
    <w:p>
      <w:pPr>
        <w:pStyle w:val="FootnoteText"/>
        <w:spacing w:line="240" w:lineRule="auto" w:after="60"/>
        <w:ind w:left="360" w:hanging="180"/>
      </w:pPr>
      <w:r>
        <w:rPr>
          <w:sz w:val="16"/>
        </w:rPr>
        <w:footnoteRef/>
      </w:r>
      <w:r>
        <w:rPr>
          <w:sz w:val="18"/>
          <w:color w:val="404040"/>
        </w:rPr>
        <w:t xml:space="preserve"> https://version-2.com.sg/2025/05/cvss-epss-and-ssvc-how-to-read-between-the-vulnerability-scores/</w:t>
      </w:r>
    </w:p>
  </w:footnote>
  <w:footnote w:id="3">
    <w:p>
      <w:pPr>
        <w:pStyle w:val="FootnoteText"/>
        <w:spacing w:line="240" w:lineRule="auto" w:after="60"/>
        <w:ind w:left="360" w:hanging="180"/>
      </w:pPr>
      <w:r>
        <w:rPr>
          <w:sz w:val="16"/>
        </w:rPr>
        <w:footnoteRef/>
      </w:r>
      <w:r>
        <w:rPr>
          <w:sz w:val="18"/>
          <w:color w:val="404040"/>
        </w:rPr>
        <w:t xml:space="preserve"> https://arxiv.org/html/2508.13644v1</w:t>
      </w:r>
    </w:p>
  </w:footnote>
  <w:footnote w:id="21">
    <w:p>
      <w:pPr>
        <w:pStyle w:val="FootnoteText"/>
        <w:spacing w:line="240" w:lineRule="auto" w:after="60"/>
        <w:ind w:left="360" w:hanging="180"/>
      </w:pPr>
      <w:r>
        <w:rPr>
          <w:sz w:val="16"/>
        </w:rPr>
        <w:footnoteRef/>
      </w:r>
      <w:r>
        <w:rPr>
          <w:sz w:val="18"/>
          <w:color w:val="404040"/>
        </w:rPr>
        <w:t xml:space="preserve"> https://www.oligo.security/academy/4-modern-vulnerability-prioritization-methods-for-2025</w:t>
      </w:r>
    </w:p>
  </w:footnote>
  <w:footnote w:id="16">
    <w:p>
      <w:pPr>
        <w:pStyle w:val="FootnoteText"/>
        <w:spacing w:line="240" w:lineRule="auto" w:after="60"/>
        <w:ind w:left="360" w:hanging="180"/>
      </w:pPr>
      <w:r>
        <w:rPr>
          <w:sz w:val="16"/>
        </w:rPr>
        <w:footnoteRef/>
      </w:r>
      <w:r>
        <w:rPr>
          <w:sz w:val="18"/>
          <w:color w:val="404040"/>
        </w:rPr>
        <w:t xml:space="preserve"> https://www.picussecurity.com/resource/blog/comparing-cvss-epss-kev-ssvc-lev-and-pxs-from-scores-to-security-proof</w:t>
      </w:r>
    </w:p>
  </w:footnote>
  <w:footnote w:id="13">
    <w:p>
      <w:pPr>
        <w:pStyle w:val="FootnoteText"/>
        <w:spacing w:line="240" w:lineRule="auto" w:after="60"/>
        <w:ind w:left="360" w:hanging="180"/>
      </w:pPr>
      <w:r>
        <w:rPr>
          <w:sz w:val="16"/>
        </w:rPr>
        <w:footnoteRef/>
      </w:r>
      <w:r>
        <w:rPr>
          <w:sz w:val="18"/>
          <w:color w:val="404040"/>
        </w:rPr>
        <w:t xml:space="preserve"> https://www.wiz.io/academy/vulnerability-management/vulnerability-prioritization</w:t>
      </w:r>
    </w:p>
  </w:footnote>
  <w:footnote w:id="15">
    <w:p>
      <w:pPr>
        <w:pStyle w:val="FootnoteText"/>
        <w:spacing w:line="240" w:lineRule="auto" w:after="60"/>
        <w:ind w:left="360" w:hanging="180"/>
      </w:pPr>
      <w:r>
        <w:rPr>
          <w:sz w:val="16"/>
        </w:rPr>
        <w:footnoteRef/>
      </w:r>
      <w:r>
        <w:rPr>
          <w:sz w:val="18"/>
          <w:color w:val="404040"/>
        </w:rPr>
        <w:t xml:space="preserve"> https://nucleussec.com/blog/5-things-to-consider-before-using-ssvc-to-automate-vulnerability-prioritization/</w:t>
      </w:r>
    </w:p>
  </w:footnote>
  <w:footnote w:id="6">
    <w:p>
      <w:pPr>
        <w:pStyle w:val="FootnoteText"/>
        <w:spacing w:line="240" w:lineRule="auto" w:after="60"/>
        <w:ind w:left="360" w:hanging="180"/>
      </w:pPr>
      <w:r>
        <w:rPr>
          <w:sz w:val="16"/>
        </w:rPr>
        <w:footnoteRef/>
      </w:r>
      <w:r>
        <w:rPr>
          <w:sz w:val="18"/>
          <w:color w:val="404040"/>
        </w:rPr>
        <w:t xml:space="preserve"> https://www.infosecurity-magazine.com/news/cisa-launches-vulnrichment-program/</w:t>
      </w:r>
    </w:p>
  </w:footnote>
  <w:footnote w:id="8">
    <w:p>
      <w:pPr>
        <w:pStyle w:val="FootnoteText"/>
        <w:spacing w:line="240" w:lineRule="auto" w:after="60"/>
        <w:ind w:left="360" w:hanging="180"/>
      </w:pPr>
      <w:r>
        <w:rPr>
          <w:sz w:val="16"/>
        </w:rPr>
        <w:footnoteRef/>
      </w:r>
      <w:r>
        <w:rPr>
          <w:sz w:val="18"/>
          <w:color w:val="404040"/>
        </w:rPr>
        <w:t xml:space="preserve"> https://www.runzero.com/resources/kevology/</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7">
    <w:p>
      <w:pPr>
        <w:pStyle w:val="FootnoteText"/>
        <w:spacing w:line="240" w:lineRule="auto" w:after="60"/>
        <w:ind w:left="360" w:hanging="180"/>
      </w:pPr>
      <w:r>
        <w:rPr>
          <w:sz w:val="16"/>
        </w:rPr>
        <w:footnoteRef/>
      </w:r>
      <w:r>
        <w:rPr>
          <w:sz w:val="18"/>
          <w:color w:val="404040"/>
        </w:rPr>
        <w:t xml:space="preserve"> https://github.com/cisagov/vulnrichment</w:t>
      </w:r>
    </w:p>
  </w:footnote>
  <w:footnote w:id="8">
    <w:p>
      <w:pPr>
        <w:pStyle w:val="FootnoteText"/>
        <w:spacing w:line="240" w:lineRule="auto" w:after="60"/>
        <w:ind w:left="360" w:hanging="180"/>
      </w:pPr>
      <w:r>
        <w:rPr>
          <w:sz w:val="16"/>
        </w:rPr>
        <w:footnoteRef/>
      </w:r>
      <w:r>
        <w:rPr>
          <w:sz w:val="18"/>
          <w:color w:val="404040"/>
        </w:rPr>
        <w:t xml:space="preserve"> https://www.runzero.com/resources/kevology/</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6">
    <w:p>
      <w:pPr>
        <w:pStyle w:val="FootnoteText"/>
        <w:spacing w:line="240" w:lineRule="auto" w:after="60"/>
        <w:ind w:left="360" w:hanging="180"/>
      </w:pPr>
      <w:r>
        <w:rPr>
          <w:sz w:val="16"/>
        </w:rPr>
        <w:footnoteRef/>
      </w:r>
      <w:r>
        <w:rPr>
          <w:sz w:val="18"/>
          <w:color w:val="404040"/>
        </w:rPr>
        <w:t xml:space="preserve"> https://www.infosecurity-magazine.com/news/cisa-launches-vulnrichment-program/</w:t>
      </w:r>
    </w:p>
  </w:footnote>
  <w:footnote w:id="19">
    <w:p>
      <w:pPr>
        <w:pStyle w:val="FootnoteText"/>
        <w:spacing w:line="240" w:lineRule="auto" w:after="60"/>
        <w:ind w:left="360" w:hanging="180"/>
      </w:pPr>
      <w:r>
        <w:rPr>
          <w:sz w:val="16"/>
        </w:rPr>
        <w:footnoteRef/>
      </w:r>
      <w:r>
        <w:rPr>
          <w:sz w:val="18"/>
          <w:color w:val="404040"/>
        </w:rPr>
        <w:t xml:space="preserve"> https://www.incibe.es/en/incibe/corporate-information/who-we-work-with/european-projects</w:t>
      </w:r>
    </w:p>
  </w:footnote>
  <w:footnote w:id="1">
    <w:p>
      <w:pPr>
        <w:pStyle w:val="FootnoteText"/>
        <w:spacing w:line="240" w:lineRule="auto" w:after="60"/>
        <w:ind w:left="360" w:hanging="180"/>
      </w:pPr>
      <w:r>
        <w:rPr>
          <w:sz w:val="16"/>
        </w:rPr>
        <w:footnoteRef/>
      </w:r>
      <w:r>
        <w:rPr>
          <w:sz w:val="18"/>
          <w:color w:val="404040"/>
        </w:rPr>
        <w:t xml:space="preserve"> https://certcc.github.io/SSVC/</w:t>
      </w:r>
    </w:p>
  </w:footnote>
  <w:footnote w:id="2">
    <w:p>
      <w:pPr>
        <w:pStyle w:val="FootnoteText"/>
        <w:spacing w:line="240" w:lineRule="auto" w:after="60"/>
        <w:ind w:left="360" w:hanging="180"/>
      </w:pPr>
      <w:r>
        <w:rPr>
          <w:sz w:val="16"/>
        </w:rPr>
        <w:footnoteRef/>
      </w:r>
      <w:r>
        <w:rPr>
          <w:sz w:val="18"/>
          <w:color w:val="404040"/>
        </w:rPr>
        <w:t xml:space="preserve"> https://www.sei.cmu.edu/library/prioritizing-vulnerability-response-a-stakeholder-specific-vulnerability-categorization-version-20/</w:t>
      </w:r>
    </w:p>
  </w:footnote>
  <w:footnote w:id="9">
    <w:p>
      <w:pPr>
        <w:pStyle w:val="FootnoteText"/>
        <w:spacing w:line="240" w:lineRule="auto" w:after="60"/>
        <w:ind w:left="360" w:hanging="180"/>
      </w:pPr>
      <w:r>
        <w:rPr>
          <w:sz w:val="16"/>
        </w:rPr>
        <w:footnoteRef/>
      </w:r>
      <w:r>
        <w:rPr>
          <w:sz w:val="18"/>
          <w:color w:val="404040"/>
        </w:rPr>
        <w:t xml:space="preserve"> https://industrialcyber.co/cisa/cisa-2025-year-in-review-focuses-on-driving-security-and-resilience-across-critical-infrastructure/</w:t>
      </w:r>
    </w:p>
  </w:footnote>
  <w:footnote w:id="4">
    <w:p>
      <w:pPr>
        <w:pStyle w:val="FootnoteText"/>
        <w:spacing w:line="240" w:lineRule="auto" w:after="60"/>
        <w:ind w:left="360" w:hanging="180"/>
      </w:pPr>
      <w:r>
        <w:rPr>
          <w:sz w:val="16"/>
        </w:rPr>
        <w:footnoteRef/>
      </w:r>
      <w:r>
        <w:rPr>
          <w:sz w:val="18"/>
          <w:color w:val="404040"/>
        </w:rPr>
        <w:t xml:space="preserve"> https://www.sei.cmu.edu/blog/from-concept-to-practice-how-ssvc-has-evolved-to-make-adoption-possible/</w:t>
      </w:r>
    </w:p>
  </w:footnote>
  <w:footnote w:id="15">
    <w:p>
      <w:pPr>
        <w:pStyle w:val="FootnoteText"/>
        <w:spacing w:line="240" w:lineRule="auto" w:after="60"/>
        <w:ind w:left="360" w:hanging="180"/>
      </w:pPr>
      <w:r>
        <w:rPr>
          <w:sz w:val="16"/>
        </w:rPr>
        <w:footnoteRef/>
      </w:r>
      <w:r>
        <w:rPr>
          <w:sz w:val="18"/>
          <w:color w:val="404040"/>
        </w:rPr>
        <w:t xml:space="preserve"> https://nucleussec.com/blog/5-things-to-consider-before-using-ssvc-to-automate-vulnerability-prioritization/</w:t>
      </w:r>
    </w:p>
  </w:footnote>
  <w:footnote w:id="14">
    <w:p>
      <w:pPr>
        <w:pStyle w:val="FootnoteText"/>
        <w:spacing w:line="240" w:lineRule="auto" w:after="60"/>
        <w:ind w:left="360" w:hanging="180"/>
      </w:pPr>
      <w:r>
        <w:rPr>
          <w:sz w:val="16"/>
        </w:rPr>
        <w:footnoteRef/>
      </w:r>
      <w:r>
        <w:rPr>
          <w:sz w:val="18"/>
          <w:color w:val="404040"/>
        </w:rPr>
        <w:t xml:space="preserve"> https://5262266.fs1.hubspotusercontent-na1.net/hubfs/5262266/2025 Assets/2025 State of Vulnerability Management \&amp; Remediation Report.pdf</w:t>
      </w:r>
    </w:p>
  </w:footnote>
  <w:footnote w:id="9">
    <w:p>
      <w:pPr>
        <w:pStyle w:val="FootnoteText"/>
        <w:spacing w:line="240" w:lineRule="auto" w:after="60"/>
        <w:ind w:left="360" w:hanging="180"/>
      </w:pPr>
      <w:r>
        <w:rPr>
          <w:sz w:val="16"/>
        </w:rPr>
        <w:footnoteRef/>
      </w:r>
      <w:r>
        <w:rPr>
          <w:sz w:val="18"/>
          <w:color w:val="404040"/>
        </w:rPr>
        <w:t xml:space="preserve"> https://industrialcyber.co/cisa/cisa-2025-year-in-review-focuses-on-driving-security-and-resilience-across-critical-infrastructure/</w:t>
      </w:r>
    </w:p>
  </w:footnote>
  <w:footnote w:id="16">
    <w:p>
      <w:pPr>
        <w:pStyle w:val="FootnoteText"/>
        <w:spacing w:line="240" w:lineRule="auto" w:after="60"/>
        <w:ind w:left="360" w:hanging="180"/>
      </w:pPr>
      <w:r>
        <w:rPr>
          <w:sz w:val="16"/>
        </w:rPr>
        <w:footnoteRef/>
      </w:r>
      <w:r>
        <w:rPr>
          <w:sz w:val="18"/>
          <w:color w:val="404040"/>
        </w:rPr>
        <w:t xml:space="preserve"> https://www.picussecurity.com/resource/blog/comparing-cvss-epss-kev-ssvc-lev-and-pxs-from-scores-to-security-proof</w:t>
      </w:r>
    </w:p>
  </w:footnote>
  <w:footnote w:id="12">
    <w:p>
      <w:pPr>
        <w:pStyle w:val="FootnoteText"/>
        <w:spacing w:line="240" w:lineRule="auto" w:after="60"/>
        <w:ind w:left="360" w:hanging="180"/>
      </w:pPr>
      <w:r>
        <w:rPr>
          <w:sz w:val="16"/>
        </w:rPr>
        <w:footnoteRef/>
      </w:r>
      <w:r>
        <w:rPr>
          <w:sz w:val="18"/>
          <w:color w:val="404040"/>
        </w:rPr>
        <w:t xml:space="preserve"> https://version-2.com.sg/2025/05/cvss-epss-and-ssvc-how-to-read-between-the-vulnerability-scores/</w:t>
      </w:r>
    </w:p>
  </w:footnote>
  <w:footnote w:id="3">
    <w:p>
      <w:pPr>
        <w:pStyle w:val="FootnoteText"/>
        <w:spacing w:line="240" w:lineRule="auto" w:after="60"/>
        <w:ind w:left="360" w:hanging="180"/>
      </w:pPr>
      <w:r>
        <w:rPr>
          <w:sz w:val="16"/>
        </w:rPr>
        <w:footnoteRef/>
      </w:r>
      <w:r>
        <w:rPr>
          <w:sz w:val="18"/>
          <w:color w:val="404040"/>
        </w:rPr>
        <w:t xml:space="preserve"> https://arxiv.org/html/2508.13644v1</w:t>
      </w:r>
    </w:p>
  </w:footnote>
  <w:footnote w:id="5">
    <w:p>
      <w:pPr>
        <w:pStyle w:val="FootnoteText"/>
        <w:spacing w:line="240" w:lineRule="auto" w:after="60"/>
        <w:ind w:left="360" w:hanging="180"/>
      </w:pPr>
      <w:r>
        <w:rPr>
          <w:sz w:val="16"/>
        </w:rPr>
        <w:footnoteRef/>
      </w:r>
      <w:r>
        <w:rPr>
          <w:sz w:val="18"/>
          <w:color w:val="404040"/>
        </w:rPr>
        <w:t xml:space="preserve"> https://orca.cardiff.ac.uk/id/eprint/185542/</w:t>
      </w:r>
    </w:p>
  </w:footnote>
  <w:footnote w:id="22">
    <w:p>
      <w:pPr>
        <w:pStyle w:val="FootnoteText"/>
        <w:spacing w:line="240" w:lineRule="auto" w:after="60"/>
        <w:ind w:left="360" w:hanging="180"/>
      </w:pPr>
      <w:r>
        <w:rPr>
          <w:sz w:val="16"/>
        </w:rPr>
        <w:footnoteRef/>
      </w:r>
      <w:r>
        <w:rPr>
          <w:sz w:val="18"/>
          <w:color w:val="404040"/>
        </w:rPr>
        <w:t xml:space="preserve"> https://www.picussecurity.com/resource/glossary/stakeholder-specific-vulnerability-categorization-ssvc-explained</w:t>
      </w:r>
    </w:p>
  </w:footnote>
  <w:footnote w:id="15">
    <w:p>
      <w:pPr>
        <w:pStyle w:val="FootnoteText"/>
        <w:spacing w:line="240" w:lineRule="auto" w:after="60"/>
        <w:ind w:left="360" w:hanging="180"/>
      </w:pPr>
      <w:r>
        <w:rPr>
          <w:sz w:val="16"/>
        </w:rPr>
        <w:footnoteRef/>
      </w:r>
      <w:r>
        <w:rPr>
          <w:sz w:val="18"/>
          <w:color w:val="404040"/>
        </w:rPr>
        <w:t xml:space="preserve"> https://nucleussec.com/blog/5-things-to-consider-before-using-ssvc-to-automate-vulnerability-prioritization/</w:t>
      </w:r>
    </w:p>
  </w:footnote>
  <w:footnote w:id="2">
    <w:p>
      <w:pPr>
        <w:pStyle w:val="FootnoteText"/>
        <w:spacing w:line="240" w:lineRule="auto" w:after="60"/>
        <w:ind w:left="360" w:hanging="180"/>
      </w:pPr>
      <w:r>
        <w:rPr>
          <w:sz w:val="16"/>
        </w:rPr>
        <w:footnoteRef/>
      </w:r>
      <w:r>
        <w:rPr>
          <w:sz w:val="18"/>
          <w:color w:val="404040"/>
        </w:rPr>
        <w:t xml:space="preserve"> https://www.sei.cmu.edu/library/prioritizing-vulnerability-response-a-stakeholder-specific-vulnerability-categorization-version-20/</w:t>
      </w:r>
    </w:p>
  </w:footnote>
  <w:footnote w:id="12">
    <w:p>
      <w:pPr>
        <w:pStyle w:val="FootnoteText"/>
        <w:spacing w:line="240" w:lineRule="auto" w:after="60"/>
        <w:ind w:left="360" w:hanging="180"/>
      </w:pPr>
      <w:r>
        <w:rPr>
          <w:sz w:val="16"/>
        </w:rPr>
        <w:footnoteRef/>
      </w:r>
      <w:r>
        <w:rPr>
          <w:sz w:val="18"/>
          <w:color w:val="404040"/>
        </w:rPr>
        <w:t xml:space="preserve"> https://version-2.com.sg/2025/05/cvss-epss-and-ssvc-how-to-read-between-the-vulnerability-scores/</w:t>
      </w:r>
    </w:p>
  </w:footnote>
  <w:footnote w:id="16">
    <w:p>
      <w:pPr>
        <w:pStyle w:val="FootnoteText"/>
        <w:spacing w:line="240" w:lineRule="auto" w:after="60"/>
        <w:ind w:left="360" w:hanging="180"/>
      </w:pPr>
      <w:r>
        <w:rPr>
          <w:sz w:val="16"/>
        </w:rPr>
        <w:footnoteRef/>
      </w:r>
      <w:r>
        <w:rPr>
          <w:sz w:val="18"/>
          <w:color w:val="404040"/>
        </w:rPr>
        <w:t xml:space="preserve"> https://www.picussecurity.com/resource/blog/comparing-cvss-epss-kev-ssvc-lev-and-pxs-from-scores-to-security-proof</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